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88D7" w14:textId="1A3426FD" w:rsidR="00701CD1" w:rsidRDefault="00701CD1" w:rsidP="003C02DE">
      <w:pPr>
        <w:spacing w:line="276" w:lineRule="auto"/>
        <w:jc w:val="right"/>
        <w:rPr>
          <w:rFonts w:ascii="Arial Narrow" w:hAnsi="Arial Narrow"/>
          <w:szCs w:val="22"/>
          <w:lang w:val="pl-PL"/>
        </w:rPr>
      </w:pPr>
      <w:r w:rsidRPr="003C02DE">
        <w:rPr>
          <w:rFonts w:ascii="Arial Narrow" w:hAnsi="Arial Narrow"/>
          <w:szCs w:val="22"/>
          <w:lang w:val="pl-PL"/>
        </w:rPr>
        <w:t xml:space="preserve">Warszawa, </w:t>
      </w:r>
      <w:r w:rsidR="003E3321">
        <w:rPr>
          <w:rFonts w:ascii="Arial Narrow" w:hAnsi="Arial Narrow"/>
          <w:szCs w:val="22"/>
          <w:lang w:val="pl-PL"/>
        </w:rPr>
        <w:t>22</w:t>
      </w:r>
      <w:r w:rsidR="004A23BD" w:rsidRPr="003C02DE">
        <w:rPr>
          <w:rFonts w:ascii="Arial Narrow" w:hAnsi="Arial Narrow"/>
          <w:szCs w:val="22"/>
          <w:lang w:val="pl-PL"/>
        </w:rPr>
        <w:t>.</w:t>
      </w:r>
      <w:r w:rsidR="003C02DE">
        <w:rPr>
          <w:rFonts w:ascii="Arial Narrow" w:hAnsi="Arial Narrow"/>
          <w:szCs w:val="22"/>
          <w:lang w:val="pl-PL"/>
        </w:rPr>
        <w:t>11</w:t>
      </w:r>
      <w:r w:rsidR="004A23BD" w:rsidRPr="003C02DE">
        <w:rPr>
          <w:rFonts w:ascii="Arial Narrow" w:hAnsi="Arial Narrow"/>
          <w:szCs w:val="22"/>
          <w:lang w:val="pl-PL"/>
        </w:rPr>
        <w:t>.</w:t>
      </w:r>
      <w:r w:rsidRPr="003C02DE">
        <w:rPr>
          <w:rFonts w:ascii="Arial Narrow" w:hAnsi="Arial Narrow"/>
          <w:szCs w:val="22"/>
          <w:lang w:val="pl-PL"/>
        </w:rPr>
        <w:t>2019</w:t>
      </w:r>
    </w:p>
    <w:p w14:paraId="3BA85D43" w14:textId="77777777" w:rsidR="003C02DE" w:rsidRPr="003C02DE" w:rsidRDefault="003C02DE" w:rsidP="003C02DE">
      <w:pPr>
        <w:spacing w:line="276" w:lineRule="auto"/>
        <w:jc w:val="right"/>
        <w:rPr>
          <w:rFonts w:ascii="Arial Narrow" w:hAnsi="Arial Narrow"/>
          <w:szCs w:val="22"/>
          <w:lang w:val="pl-PL"/>
        </w:rPr>
      </w:pPr>
    </w:p>
    <w:p w14:paraId="3B5B83F4" w14:textId="77777777" w:rsidR="000131AC" w:rsidRPr="000131AC" w:rsidRDefault="000131AC" w:rsidP="000131AC">
      <w:pPr>
        <w:spacing w:line="276" w:lineRule="auto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0131AC">
        <w:rPr>
          <w:rFonts w:ascii="Arial Narrow" w:hAnsi="Arial Narrow"/>
          <w:b/>
          <w:sz w:val="32"/>
          <w:szCs w:val="32"/>
          <w:lang w:val="pl-PL"/>
        </w:rPr>
        <w:t>Pierwsza na polskim rynku butelka 1L</w:t>
      </w:r>
    </w:p>
    <w:p w14:paraId="40E2060D" w14:textId="2E3B3071" w:rsidR="000131AC" w:rsidRDefault="000131AC" w:rsidP="000131AC">
      <w:pPr>
        <w:spacing w:line="276" w:lineRule="auto"/>
        <w:jc w:val="center"/>
        <w:rPr>
          <w:rFonts w:ascii="Arial Narrow" w:hAnsi="Arial Narrow"/>
          <w:b/>
          <w:sz w:val="32"/>
          <w:szCs w:val="32"/>
          <w:lang w:val="pl-PL"/>
        </w:rPr>
      </w:pPr>
      <w:r w:rsidRPr="000131AC">
        <w:rPr>
          <w:rFonts w:ascii="Arial Narrow" w:hAnsi="Arial Narrow"/>
          <w:b/>
          <w:sz w:val="32"/>
          <w:szCs w:val="32"/>
          <w:lang w:val="pl-PL"/>
        </w:rPr>
        <w:t xml:space="preserve">z 50% zawartością plastiku z recyklingu </w:t>
      </w:r>
    </w:p>
    <w:p w14:paraId="2FBE2FE6" w14:textId="77777777" w:rsidR="000131AC" w:rsidRPr="000131AC" w:rsidRDefault="000131AC" w:rsidP="000131AC">
      <w:pPr>
        <w:spacing w:line="276" w:lineRule="auto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14:paraId="3A0EF578" w14:textId="54F3FDB4" w:rsidR="000131AC" w:rsidRPr="000131AC" w:rsidRDefault="000C65F2" w:rsidP="000131AC">
      <w:pPr>
        <w:spacing w:line="276" w:lineRule="auto"/>
        <w:jc w:val="both"/>
        <w:rPr>
          <w:rFonts w:ascii="Arial Narrow" w:hAnsi="Arial Narrow"/>
          <w:b/>
          <w:bCs/>
          <w:szCs w:val="22"/>
          <w:lang w:val="pl-PL"/>
        </w:rPr>
      </w:pPr>
      <w:r>
        <w:rPr>
          <w:rFonts w:ascii="Arial Narrow" w:hAnsi="Arial Narrow"/>
          <w:b/>
          <w:bCs/>
          <w:szCs w:val="22"/>
          <w:lang w:val="pl-PL"/>
        </w:rPr>
        <w:t>Nałęczowianka</w:t>
      </w:r>
      <w:r w:rsidR="000131AC" w:rsidRPr="000131AC">
        <w:rPr>
          <w:rFonts w:ascii="Arial Narrow" w:hAnsi="Arial Narrow"/>
          <w:b/>
          <w:bCs/>
          <w:szCs w:val="22"/>
          <w:lang w:val="pl-PL"/>
        </w:rPr>
        <w:t xml:space="preserve"> w</w:t>
      </w:r>
      <w:r>
        <w:rPr>
          <w:rFonts w:ascii="Arial Narrow" w:hAnsi="Arial Narrow"/>
          <w:b/>
          <w:bCs/>
          <w:szCs w:val="22"/>
          <w:lang w:val="pl-PL"/>
        </w:rPr>
        <w:t>pro</w:t>
      </w:r>
      <w:r w:rsidR="00A80A5C">
        <w:rPr>
          <w:rFonts w:ascii="Arial Narrow" w:hAnsi="Arial Narrow"/>
          <w:b/>
          <w:bCs/>
          <w:szCs w:val="22"/>
          <w:lang w:val="pl-PL"/>
        </w:rPr>
        <w:t>wadza na rynek nową butelkę 1L,</w:t>
      </w:r>
      <w:r>
        <w:rPr>
          <w:rFonts w:ascii="Arial Narrow" w:hAnsi="Arial Narrow"/>
          <w:b/>
          <w:bCs/>
          <w:szCs w:val="22"/>
          <w:lang w:val="pl-PL"/>
        </w:rPr>
        <w:t xml:space="preserve"> która jest w 50% wykonana </w:t>
      </w:r>
      <w:r w:rsidR="000131AC" w:rsidRPr="000131AC">
        <w:rPr>
          <w:rFonts w:ascii="Arial Narrow" w:hAnsi="Arial Narrow"/>
          <w:b/>
          <w:bCs/>
          <w:szCs w:val="22"/>
          <w:lang w:val="pl-PL"/>
        </w:rPr>
        <w:t>z PET z recyklingu</w:t>
      </w:r>
      <w:r w:rsidR="003E1625">
        <w:rPr>
          <w:rFonts w:ascii="Arial Narrow" w:hAnsi="Arial Narrow"/>
          <w:b/>
          <w:bCs/>
          <w:szCs w:val="22"/>
          <w:lang w:val="pl-PL"/>
        </w:rPr>
        <w:t xml:space="preserve"> (rPET)</w:t>
      </w:r>
      <w:r w:rsidR="000131AC" w:rsidRPr="000131AC">
        <w:rPr>
          <w:rFonts w:ascii="Arial Narrow" w:hAnsi="Arial Narrow"/>
          <w:b/>
          <w:bCs/>
          <w:szCs w:val="22"/>
          <w:lang w:val="pl-PL"/>
        </w:rPr>
        <w:t>. To pierwsza w Polsce woda dostępna w butelce takiej pojemności</w:t>
      </w:r>
      <w:r w:rsidR="00AA33E3">
        <w:rPr>
          <w:rFonts w:ascii="Arial Narrow" w:hAnsi="Arial Narrow"/>
          <w:b/>
          <w:bCs/>
          <w:szCs w:val="22"/>
          <w:lang w:val="pl-PL"/>
        </w:rPr>
        <w:t xml:space="preserve"> </w:t>
      </w:r>
      <w:r w:rsidR="000131AC" w:rsidRPr="000131AC">
        <w:rPr>
          <w:rFonts w:ascii="Arial Narrow" w:hAnsi="Arial Narrow"/>
          <w:b/>
          <w:bCs/>
          <w:szCs w:val="22"/>
          <w:lang w:val="pl-PL"/>
        </w:rPr>
        <w:t>wyprodukowan</w:t>
      </w:r>
      <w:r w:rsidR="00AA33E3">
        <w:rPr>
          <w:rFonts w:ascii="Arial Narrow" w:hAnsi="Arial Narrow"/>
          <w:b/>
          <w:bCs/>
          <w:szCs w:val="22"/>
          <w:lang w:val="pl-PL"/>
        </w:rPr>
        <w:t xml:space="preserve">a z rPET. </w:t>
      </w:r>
      <w:r w:rsidR="000131AC" w:rsidRPr="000131AC">
        <w:rPr>
          <w:rFonts w:ascii="Arial Narrow" w:hAnsi="Arial Narrow"/>
          <w:b/>
          <w:bCs/>
          <w:szCs w:val="22"/>
          <w:lang w:val="pl-PL"/>
        </w:rPr>
        <w:t>Co ważne, w pełni nadaje się do recyklingu i może z nie</w:t>
      </w:r>
      <w:r w:rsidR="00AA33E3">
        <w:rPr>
          <w:rFonts w:ascii="Arial Narrow" w:hAnsi="Arial Narrow"/>
          <w:b/>
          <w:bCs/>
          <w:szCs w:val="22"/>
          <w:lang w:val="pl-PL"/>
        </w:rPr>
        <w:t>j</w:t>
      </w:r>
      <w:r w:rsidR="000131AC" w:rsidRPr="000131AC">
        <w:rPr>
          <w:rFonts w:ascii="Arial Narrow" w:hAnsi="Arial Narrow"/>
          <w:b/>
          <w:bCs/>
          <w:szCs w:val="22"/>
          <w:lang w:val="pl-PL"/>
        </w:rPr>
        <w:t xml:space="preserve"> powstać np. kolejna butelka. To następny krok</w:t>
      </w:r>
      <w:r>
        <w:rPr>
          <w:rFonts w:ascii="Arial Narrow" w:hAnsi="Arial Narrow"/>
          <w:b/>
          <w:bCs/>
          <w:szCs w:val="22"/>
          <w:lang w:val="pl-PL"/>
        </w:rPr>
        <w:t xml:space="preserve"> marki, </w:t>
      </w:r>
      <w:r w:rsidR="000131AC" w:rsidRPr="000131AC">
        <w:rPr>
          <w:rFonts w:ascii="Arial Narrow" w:hAnsi="Arial Narrow"/>
          <w:b/>
          <w:bCs/>
          <w:szCs w:val="22"/>
          <w:lang w:val="pl-PL"/>
        </w:rPr>
        <w:t xml:space="preserve">która dąży do zminimalizowania </w:t>
      </w:r>
      <w:r w:rsidR="00AA33E3">
        <w:rPr>
          <w:rFonts w:ascii="Arial Narrow" w:hAnsi="Arial Narrow"/>
          <w:b/>
          <w:bCs/>
          <w:szCs w:val="22"/>
          <w:lang w:val="pl-PL"/>
        </w:rPr>
        <w:t xml:space="preserve">swojego </w:t>
      </w:r>
      <w:r w:rsidR="000131AC" w:rsidRPr="000131AC">
        <w:rPr>
          <w:rFonts w:ascii="Arial Narrow" w:hAnsi="Arial Narrow"/>
          <w:b/>
          <w:bCs/>
          <w:szCs w:val="22"/>
          <w:lang w:val="pl-PL"/>
        </w:rPr>
        <w:t>wpływu na środowisko.</w:t>
      </w:r>
    </w:p>
    <w:p w14:paraId="187AD574" w14:textId="77777777" w:rsidR="000131AC" w:rsidRPr="003C02DE" w:rsidRDefault="000131AC" w:rsidP="003C02DE">
      <w:pPr>
        <w:spacing w:line="276" w:lineRule="auto"/>
        <w:jc w:val="both"/>
        <w:rPr>
          <w:rFonts w:ascii="Arial Narrow" w:hAnsi="Arial Narrow"/>
          <w:b/>
          <w:bCs/>
          <w:szCs w:val="22"/>
          <w:lang w:val="pl-PL"/>
        </w:rPr>
      </w:pPr>
    </w:p>
    <w:p w14:paraId="06F69570" w14:textId="23B071D8" w:rsidR="003C02DE" w:rsidRDefault="003C02DE" w:rsidP="000C65F2">
      <w:pPr>
        <w:spacing w:line="276" w:lineRule="auto"/>
        <w:jc w:val="both"/>
        <w:rPr>
          <w:rFonts w:ascii="Arial Narrow" w:hAnsi="Arial Narrow"/>
          <w:lang w:val="pl-PL"/>
        </w:rPr>
      </w:pPr>
      <w:r w:rsidRPr="003C02DE">
        <w:rPr>
          <w:rFonts w:ascii="Arial Narrow" w:hAnsi="Arial Narrow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256BA38" wp14:editId="79DF57F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779905" cy="2679700"/>
            <wp:effectExtent l="0" t="0" r="0" b="0"/>
            <wp:wrapSquare wrapText="bothSides"/>
            <wp:docPr id="2" name="Obraz 2" descr="C:\Users\plpurzycjo\Desktop\info\!!!! Brands\NAŁ\rPET listopad\packshoty\Naleczowianka_Etykieta_Niegazowana_1L_LIDL_EKO_v2_render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purzycjo\Desktop\info\!!!! Brands\NAŁ\rPET listopad\packshoty\Naleczowianka_Etykieta_Niegazowana_1L_LIDL_EKO_v2_render_fro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6" b="2952"/>
                    <a:stretch/>
                  </pic:blipFill>
                  <pic:spPr bwMode="auto">
                    <a:xfrm>
                      <a:off x="0" y="0"/>
                      <a:ext cx="17799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2DE">
        <w:rPr>
          <w:rFonts w:ascii="Arial Narrow" w:hAnsi="Arial Narrow"/>
          <w:lang w:val="pl-PL"/>
        </w:rPr>
        <w:t xml:space="preserve">Celem </w:t>
      </w:r>
      <w:r w:rsidR="000C65F2">
        <w:rPr>
          <w:rFonts w:ascii="Arial Narrow" w:hAnsi="Arial Narrow"/>
          <w:lang w:val="pl-PL"/>
        </w:rPr>
        <w:t>Nałęczowianki</w:t>
      </w:r>
      <w:r w:rsidRPr="003C02DE">
        <w:rPr>
          <w:rFonts w:ascii="Arial Narrow" w:hAnsi="Arial Narrow"/>
          <w:lang w:val="pl-PL"/>
        </w:rPr>
        <w:t xml:space="preserve"> jest, żeby żadne z opakowań nie trafiało do środowiska lub na wysypiska. </w:t>
      </w:r>
      <w:r w:rsidR="000C65F2">
        <w:rPr>
          <w:rFonts w:ascii="Arial Narrow" w:hAnsi="Arial Narrow"/>
          <w:lang w:val="pl-PL"/>
        </w:rPr>
        <w:t>Marka podejmuje też różne działania, by jak najwięcej butelek PET trafiało do ponownego przetworzenia, a materiał z recyklingu był wykorzystywany w nowych butelkach. K</w:t>
      </w:r>
      <w:r w:rsidRPr="003C02DE">
        <w:rPr>
          <w:rFonts w:ascii="Arial Narrow" w:hAnsi="Arial Narrow"/>
          <w:lang w:val="pl-PL"/>
        </w:rPr>
        <w:t>amieniem milowym jest wprowadzenie Nałęczowian</w:t>
      </w:r>
      <w:r w:rsidR="000C65F2">
        <w:rPr>
          <w:rFonts w:ascii="Arial Narrow" w:hAnsi="Arial Narrow"/>
          <w:lang w:val="pl-PL"/>
        </w:rPr>
        <w:t>ki 1L w butelce z 50% udziałem</w:t>
      </w:r>
      <w:r w:rsidRPr="003C02DE">
        <w:rPr>
          <w:rFonts w:ascii="Arial Narrow" w:hAnsi="Arial Narrow"/>
          <w:lang w:val="pl-PL"/>
        </w:rPr>
        <w:t xml:space="preserve"> plastiku</w:t>
      </w:r>
      <w:r w:rsidR="003E1625">
        <w:rPr>
          <w:rFonts w:ascii="Arial Narrow" w:hAnsi="Arial Narrow"/>
          <w:lang w:val="pl-PL"/>
        </w:rPr>
        <w:t xml:space="preserve"> PET</w:t>
      </w:r>
      <w:r w:rsidRPr="003C02DE">
        <w:rPr>
          <w:rFonts w:ascii="Arial Narrow" w:hAnsi="Arial Narrow"/>
          <w:lang w:val="pl-PL"/>
        </w:rPr>
        <w:t xml:space="preserve"> z recyklingu</w:t>
      </w:r>
      <w:r w:rsidR="003E1625">
        <w:rPr>
          <w:rFonts w:ascii="Arial Narrow" w:hAnsi="Arial Narrow"/>
          <w:lang w:val="pl-PL"/>
        </w:rPr>
        <w:t>.</w:t>
      </w:r>
    </w:p>
    <w:p w14:paraId="7749E902" w14:textId="77777777" w:rsidR="000131AC" w:rsidRPr="003C02DE" w:rsidRDefault="000131AC" w:rsidP="003C02DE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3CCF9871" w14:textId="77777777" w:rsidR="003C02DE" w:rsidRPr="003C02DE" w:rsidRDefault="003C02DE" w:rsidP="003C02DE">
      <w:pPr>
        <w:spacing w:line="276" w:lineRule="auto"/>
        <w:jc w:val="both"/>
        <w:rPr>
          <w:rFonts w:ascii="Arial Narrow" w:hAnsi="Arial Narrow"/>
          <w:b/>
          <w:lang w:val="pl-PL"/>
        </w:rPr>
      </w:pPr>
      <w:r w:rsidRPr="003C02DE">
        <w:rPr>
          <w:rFonts w:ascii="Arial Narrow" w:hAnsi="Arial Narrow"/>
          <w:b/>
          <w:lang w:val="pl-PL"/>
        </w:rPr>
        <w:t xml:space="preserve">Mały format – duże wyzwanie </w:t>
      </w:r>
    </w:p>
    <w:p w14:paraId="03180E15" w14:textId="707445EB" w:rsidR="003C02DE" w:rsidRDefault="003C02DE" w:rsidP="003C02DE">
      <w:pPr>
        <w:spacing w:line="276" w:lineRule="auto"/>
        <w:jc w:val="both"/>
        <w:rPr>
          <w:rFonts w:ascii="Arial Narrow" w:hAnsi="Arial Narrow"/>
          <w:lang w:val="pl-PL"/>
        </w:rPr>
      </w:pPr>
      <w:r w:rsidRPr="003C02DE">
        <w:rPr>
          <w:rFonts w:ascii="Arial Narrow" w:hAnsi="Arial Narrow"/>
          <w:lang w:val="pl-PL"/>
        </w:rPr>
        <w:t>Na polskim rynku nie było jeszcze butelki o t</w:t>
      </w:r>
      <w:r w:rsidR="008B7FE5">
        <w:rPr>
          <w:rFonts w:ascii="Arial Narrow" w:hAnsi="Arial Narrow"/>
          <w:lang w:val="pl-PL"/>
        </w:rPr>
        <w:t>ak małej pojemności wykonanej z </w:t>
      </w:r>
      <w:r w:rsidR="000C65F2">
        <w:rPr>
          <w:rFonts w:ascii="Arial Narrow" w:hAnsi="Arial Narrow"/>
          <w:lang w:val="pl-PL"/>
        </w:rPr>
        <w:t xml:space="preserve">wykorzystaniem </w:t>
      </w:r>
      <w:r w:rsidR="003E1625">
        <w:rPr>
          <w:rFonts w:ascii="Arial Narrow" w:hAnsi="Arial Narrow"/>
          <w:lang w:val="pl-PL"/>
        </w:rPr>
        <w:t>rPET</w:t>
      </w:r>
      <w:r w:rsidRPr="003C02DE">
        <w:rPr>
          <w:rFonts w:ascii="Arial Narrow" w:hAnsi="Arial Narrow"/>
          <w:lang w:val="pl-PL"/>
        </w:rPr>
        <w:t>. Stworzenie</w:t>
      </w:r>
      <w:r w:rsidR="008B7FE5">
        <w:rPr>
          <w:rFonts w:ascii="Arial Narrow" w:hAnsi="Arial Narrow"/>
          <w:lang w:val="pl-PL"/>
        </w:rPr>
        <w:t xml:space="preserve"> bezpiecznego opakowania z </w:t>
      </w:r>
      <w:r w:rsidR="000C65F2">
        <w:rPr>
          <w:rFonts w:ascii="Arial Narrow" w:hAnsi="Arial Narrow"/>
          <w:lang w:val="pl-PL"/>
        </w:rPr>
        <w:t>udziałe</w:t>
      </w:r>
      <w:r w:rsidRPr="003C02DE">
        <w:rPr>
          <w:rFonts w:ascii="Arial Narrow" w:hAnsi="Arial Narrow"/>
          <w:lang w:val="pl-PL"/>
        </w:rPr>
        <w:t>m tego tworzywa jest tym większym wyzwaniem</w:t>
      </w:r>
      <w:r w:rsidR="008B7FE5">
        <w:rPr>
          <w:rFonts w:ascii="Arial Narrow" w:hAnsi="Arial Narrow"/>
          <w:lang w:val="pl-PL"/>
        </w:rPr>
        <w:t>, im mniejsza pojemność butelki</w:t>
      </w:r>
      <w:r w:rsidR="003E1625">
        <w:rPr>
          <w:rFonts w:ascii="Arial Narrow" w:hAnsi="Arial Narrow"/>
          <w:lang w:val="pl-PL"/>
        </w:rPr>
        <w:t xml:space="preserve">. </w:t>
      </w:r>
      <w:r w:rsidRPr="003C02DE">
        <w:rPr>
          <w:rFonts w:ascii="Arial Narrow" w:hAnsi="Arial Narrow"/>
          <w:lang w:val="pl-PL"/>
        </w:rPr>
        <w:t xml:space="preserve">Wszystkie </w:t>
      </w:r>
      <w:r w:rsidR="008B7FE5">
        <w:rPr>
          <w:rFonts w:ascii="Arial Narrow" w:hAnsi="Arial Narrow"/>
          <w:lang w:val="pl-PL"/>
        </w:rPr>
        <w:t>materiały</w:t>
      </w:r>
      <w:r w:rsidRPr="003C02DE">
        <w:rPr>
          <w:rFonts w:ascii="Arial Narrow" w:hAnsi="Arial Narrow"/>
          <w:lang w:val="pl-PL"/>
        </w:rPr>
        <w:t xml:space="preserve"> wykorzystywane przez </w:t>
      </w:r>
      <w:r w:rsidR="000C65F2">
        <w:rPr>
          <w:rFonts w:ascii="Arial Narrow" w:hAnsi="Arial Narrow"/>
          <w:lang w:val="pl-PL"/>
        </w:rPr>
        <w:t>Nałęczowiankę</w:t>
      </w:r>
      <w:r w:rsidRPr="003C02DE">
        <w:rPr>
          <w:rFonts w:ascii="Arial Narrow" w:hAnsi="Arial Narrow"/>
          <w:lang w:val="pl-PL"/>
        </w:rPr>
        <w:t xml:space="preserve"> są w pełni bezpieczne i spełniają szereg surowych norm.</w:t>
      </w:r>
    </w:p>
    <w:p w14:paraId="7059C420" w14:textId="77777777" w:rsidR="000131AC" w:rsidRPr="003C02DE" w:rsidRDefault="000131AC" w:rsidP="003C02DE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4CE0E5BD" w14:textId="697CDFB8" w:rsidR="003C02DE" w:rsidRDefault="003C02DE" w:rsidP="003C02DE">
      <w:pPr>
        <w:spacing w:line="276" w:lineRule="auto"/>
        <w:jc w:val="both"/>
        <w:rPr>
          <w:rFonts w:ascii="Arial Narrow" w:hAnsi="Arial Narrow"/>
          <w:lang w:val="pl-PL"/>
        </w:rPr>
      </w:pPr>
      <w:r w:rsidRPr="003C02DE">
        <w:rPr>
          <w:rFonts w:ascii="Arial Narrow" w:hAnsi="Arial Narrow"/>
          <w:lang w:val="pl-PL"/>
        </w:rPr>
        <w:t>Co ważne, Nałęczowianka 1L to jeden z najchętniej wybieranych przez konsumentów produktów w portfolio marki, nieustannie zyskujący na popularności, dzięki czemu idea recyklingu może trafić do szerokiego grona odbiorców.</w:t>
      </w:r>
    </w:p>
    <w:p w14:paraId="769F888E" w14:textId="77777777" w:rsidR="000131AC" w:rsidRPr="003C02DE" w:rsidRDefault="000131AC" w:rsidP="003C02DE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6ADA60A5" w14:textId="5A9E796E" w:rsidR="003C02DE" w:rsidRDefault="003C02DE" w:rsidP="003C02DE">
      <w:pPr>
        <w:spacing w:line="276" w:lineRule="auto"/>
        <w:jc w:val="both"/>
        <w:rPr>
          <w:rFonts w:ascii="Arial Narrow" w:hAnsi="Arial Narrow"/>
          <w:iCs/>
          <w:lang w:val="pl-PL"/>
        </w:rPr>
      </w:pPr>
      <w:r w:rsidRPr="003C02DE">
        <w:rPr>
          <w:rFonts w:ascii="Arial Narrow" w:hAnsi="Arial Narrow"/>
          <w:i/>
          <w:iCs/>
          <w:lang w:val="pl-PL"/>
        </w:rPr>
        <w:t>Nałęczowianka 1L cieszy się taką popularnością wśród konsumentów, ponieważ wystarcza na znaczną część dnia, a dzięki swojej poręczności może towarzyszyć im w każdym momencie. Opakowanie z plastiku PET jest nie tylko lekkie, wytrzymałe i bezpieczne, ale w dodatku w pełni nadaje się do recyklingu, spełniając wymogi modelu gospodarki o obiegu zamkniętym. Pamiętajmy – butelka PET to nie odpad, a cenny surowiec, któremu można dać „drugie życie”. I my właśnie to zrobiliśmy – teraz oferujemy jeden z naszych najpopularniejszych produktów w opakowaniu wykonanym w 50% z innych butelek</w:t>
      </w:r>
      <w:r w:rsidR="008B7FE5">
        <w:rPr>
          <w:rFonts w:ascii="Arial Narrow" w:hAnsi="Arial Narrow"/>
          <w:i/>
          <w:iCs/>
          <w:lang w:val="pl-PL"/>
        </w:rPr>
        <w:t xml:space="preserve"> PET</w:t>
      </w:r>
      <w:r w:rsidRPr="003C02DE">
        <w:rPr>
          <w:rFonts w:ascii="Arial Narrow" w:hAnsi="Arial Narrow"/>
          <w:i/>
          <w:iCs/>
          <w:lang w:val="pl-PL"/>
        </w:rPr>
        <w:t xml:space="preserve">. </w:t>
      </w:r>
      <w:r w:rsidRPr="003C02DE">
        <w:rPr>
          <w:rFonts w:ascii="Arial Narrow" w:hAnsi="Arial Narrow"/>
          <w:iCs/>
          <w:lang w:val="pl-PL"/>
        </w:rPr>
        <w:t xml:space="preserve">– mówi </w:t>
      </w:r>
      <w:r w:rsidR="008B7FE5">
        <w:rPr>
          <w:rFonts w:ascii="Arial Narrow" w:hAnsi="Arial Narrow"/>
          <w:iCs/>
          <w:lang w:val="pl-PL"/>
        </w:rPr>
        <w:t>Katarzyna Sternowska, Brand Manager Nałęczowianki.</w:t>
      </w:r>
    </w:p>
    <w:p w14:paraId="0CA55332" w14:textId="77777777" w:rsidR="00C3210E" w:rsidRDefault="00C3210E" w:rsidP="003C02DE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56BA9ABE" w14:textId="376BB7B3" w:rsidR="003C02DE" w:rsidRPr="003C02DE" w:rsidRDefault="003C02DE" w:rsidP="003C02DE">
      <w:pPr>
        <w:spacing w:line="276" w:lineRule="auto"/>
        <w:jc w:val="both"/>
        <w:rPr>
          <w:rFonts w:ascii="Arial Narrow" w:hAnsi="Arial Narrow"/>
          <w:b/>
          <w:lang w:val="pl-PL"/>
        </w:rPr>
      </w:pPr>
      <w:r w:rsidRPr="003C02DE">
        <w:rPr>
          <w:rFonts w:ascii="Arial Narrow" w:hAnsi="Arial Narrow"/>
          <w:b/>
          <w:lang w:val="pl-PL"/>
        </w:rPr>
        <w:lastRenderedPageBreak/>
        <w:t>Dlaczego warto przetwarzać PET?</w:t>
      </w:r>
    </w:p>
    <w:p w14:paraId="4FCF4E27" w14:textId="37AB4188" w:rsidR="003C02DE" w:rsidRPr="003C02DE" w:rsidRDefault="003C02DE" w:rsidP="003C02DE">
      <w:pPr>
        <w:spacing w:line="276" w:lineRule="auto"/>
        <w:jc w:val="both"/>
        <w:rPr>
          <w:rFonts w:ascii="Arial Narrow" w:hAnsi="Arial Narrow"/>
          <w:lang w:val="pl-PL"/>
        </w:rPr>
      </w:pPr>
      <w:r w:rsidRPr="003C02DE">
        <w:rPr>
          <w:rFonts w:ascii="Arial Narrow" w:hAnsi="Arial Narrow"/>
          <w:lang w:val="pl-PL"/>
        </w:rPr>
        <w:t>Korzyści z recyklingu plastikowych butelek obejmują zmniejszenie ilości odpadów na wysypiskach</w:t>
      </w:r>
      <w:r w:rsidR="008B7FE5">
        <w:rPr>
          <w:rFonts w:ascii="Arial Narrow" w:hAnsi="Arial Narrow"/>
          <w:lang w:val="pl-PL"/>
        </w:rPr>
        <w:t>,</w:t>
      </w:r>
      <w:r w:rsidRPr="003C02DE">
        <w:rPr>
          <w:rFonts w:ascii="Arial Narrow" w:hAnsi="Arial Narrow"/>
          <w:lang w:val="pl-PL"/>
        </w:rPr>
        <w:t xml:space="preserve"> ograniczenie emisji </w:t>
      </w:r>
      <w:r w:rsidR="008B7FE5">
        <w:rPr>
          <w:rFonts w:ascii="Arial Narrow" w:hAnsi="Arial Narrow"/>
          <w:lang w:val="pl-PL"/>
        </w:rPr>
        <w:t xml:space="preserve">dwutlenku węgla oraz </w:t>
      </w:r>
      <w:r w:rsidR="008B7FE5" w:rsidRPr="003C02DE">
        <w:rPr>
          <w:rFonts w:ascii="Arial Narrow" w:hAnsi="Arial Narrow"/>
          <w:lang w:val="pl-PL"/>
        </w:rPr>
        <w:t xml:space="preserve">ochronę zasobów </w:t>
      </w:r>
      <w:r w:rsidR="008B7FE5">
        <w:rPr>
          <w:rFonts w:ascii="Arial Narrow" w:hAnsi="Arial Narrow"/>
          <w:lang w:val="pl-PL"/>
        </w:rPr>
        <w:t xml:space="preserve">naturalnych. Recykling plastiku zmniejsza </w:t>
      </w:r>
      <w:r w:rsidRPr="003C02DE">
        <w:rPr>
          <w:rFonts w:ascii="Arial Narrow" w:hAnsi="Arial Narrow"/>
          <w:lang w:val="pl-PL"/>
        </w:rPr>
        <w:t xml:space="preserve">ilość wykorzystanej energii i zużytych zasobów (takich jak woda, ropa naftowa, gaz ziemny i węgiel) potrzebnych do wytworzenia nowego tworzywa sztucznego. Citeo, francuska instytucja zajmująca się gospodarką odpadami, podaje, że </w:t>
      </w:r>
      <w:r w:rsidR="00AA33E3">
        <w:rPr>
          <w:rFonts w:ascii="Arial Narrow" w:hAnsi="Arial Narrow"/>
          <w:lang w:val="pl-PL"/>
        </w:rPr>
        <w:t xml:space="preserve">dzięki </w:t>
      </w:r>
      <w:r w:rsidRPr="003C02DE">
        <w:rPr>
          <w:rFonts w:ascii="Arial Narrow" w:hAnsi="Arial Narrow"/>
          <w:lang w:val="pl-PL"/>
        </w:rPr>
        <w:t>1 ton</w:t>
      </w:r>
      <w:r w:rsidR="00AA33E3">
        <w:rPr>
          <w:rFonts w:ascii="Arial Narrow" w:hAnsi="Arial Narrow"/>
          <w:lang w:val="pl-PL"/>
        </w:rPr>
        <w:t>ie</w:t>
      </w:r>
      <w:r w:rsidRPr="003C02DE">
        <w:rPr>
          <w:rFonts w:ascii="Arial Narrow" w:hAnsi="Arial Narrow"/>
          <w:lang w:val="pl-PL"/>
        </w:rPr>
        <w:t xml:space="preserve"> PET poddanego recyklingowi we Francji oszczędza</w:t>
      </w:r>
      <w:r w:rsidR="00AA33E3">
        <w:rPr>
          <w:rFonts w:ascii="Arial Narrow" w:hAnsi="Arial Narrow"/>
          <w:lang w:val="pl-PL"/>
        </w:rPr>
        <w:t>my</w:t>
      </w:r>
      <w:r w:rsidRPr="003C02DE">
        <w:rPr>
          <w:rFonts w:ascii="Arial Narrow" w:hAnsi="Arial Narrow"/>
          <w:lang w:val="pl-PL"/>
        </w:rPr>
        <w:t>:</w:t>
      </w:r>
    </w:p>
    <w:p w14:paraId="5EF613EB" w14:textId="77777777" w:rsidR="003C02DE" w:rsidRPr="003C02DE" w:rsidRDefault="003C02DE" w:rsidP="003C02DE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 Narrow" w:hAnsi="Arial Narrow"/>
          <w:lang w:val="pl-PL"/>
        </w:rPr>
      </w:pPr>
      <w:r w:rsidRPr="003C02DE">
        <w:rPr>
          <w:rFonts w:ascii="Arial Narrow" w:hAnsi="Arial Narrow"/>
          <w:lang w:val="pl-PL"/>
        </w:rPr>
        <w:t>11 100 kWh – tj. równowartość 1 roku zużycia energii w 2 domach we Francji,</w:t>
      </w:r>
    </w:p>
    <w:p w14:paraId="216711D6" w14:textId="77777777" w:rsidR="003C02DE" w:rsidRPr="003C02DE" w:rsidRDefault="003C02DE" w:rsidP="003C02DE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 Narrow" w:hAnsi="Arial Narrow"/>
          <w:lang w:val="pl-PL"/>
        </w:rPr>
      </w:pPr>
      <w:r w:rsidRPr="003C02DE">
        <w:rPr>
          <w:rFonts w:ascii="Arial Narrow" w:hAnsi="Arial Narrow"/>
          <w:lang w:val="pl-PL"/>
        </w:rPr>
        <w:t>2 tony CO2, czyli 21 500 km jazdy samochodem we Francji,</w:t>
      </w:r>
    </w:p>
    <w:p w14:paraId="0A241510" w14:textId="77777777" w:rsidR="003C02DE" w:rsidRPr="003C02DE" w:rsidRDefault="003C02DE" w:rsidP="006E61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lang w:val="pl-PL"/>
        </w:rPr>
      </w:pPr>
      <w:r w:rsidRPr="003C02DE">
        <w:rPr>
          <w:rFonts w:ascii="Arial Narrow" w:hAnsi="Arial Narrow"/>
          <w:lang w:val="pl-PL"/>
        </w:rPr>
        <w:t>670 l wody, co odpowiada 33 cyklom zmywarki do naczyń.</w:t>
      </w:r>
    </w:p>
    <w:p w14:paraId="015E0AD0" w14:textId="77777777" w:rsidR="003E1625" w:rsidRDefault="003E1625" w:rsidP="003C02DE">
      <w:pPr>
        <w:spacing w:line="276" w:lineRule="auto"/>
        <w:jc w:val="both"/>
        <w:rPr>
          <w:rFonts w:ascii="Arial Narrow" w:hAnsi="Arial Narrow"/>
          <w:b/>
          <w:bCs/>
          <w:lang w:val="pl-PL"/>
        </w:rPr>
      </w:pPr>
    </w:p>
    <w:p w14:paraId="2548C3E2" w14:textId="4C15F4D2" w:rsidR="003C02DE" w:rsidRPr="003C02DE" w:rsidRDefault="003C02DE" w:rsidP="003C02DE">
      <w:pPr>
        <w:spacing w:line="276" w:lineRule="auto"/>
        <w:jc w:val="both"/>
        <w:rPr>
          <w:rFonts w:ascii="Arial Narrow" w:hAnsi="Arial Narrow"/>
          <w:b/>
          <w:bCs/>
          <w:lang w:val="pl-PL"/>
        </w:rPr>
      </w:pPr>
      <w:r w:rsidRPr="003C02DE">
        <w:rPr>
          <w:rFonts w:ascii="Arial Narrow" w:hAnsi="Arial Narrow"/>
          <w:b/>
          <w:bCs/>
          <w:lang w:val="pl-PL"/>
        </w:rPr>
        <w:t>Los butelki w rękach konsumenta</w:t>
      </w:r>
    </w:p>
    <w:p w14:paraId="738F6A00" w14:textId="77DF4A8C" w:rsidR="003C02DE" w:rsidRDefault="003C02DE" w:rsidP="003C02DE">
      <w:pPr>
        <w:spacing w:line="276" w:lineRule="auto"/>
        <w:jc w:val="both"/>
        <w:rPr>
          <w:rFonts w:ascii="Arial Narrow" w:hAnsi="Arial Narrow"/>
          <w:lang w:val="pl-PL"/>
        </w:rPr>
      </w:pPr>
      <w:r w:rsidRPr="003C02DE">
        <w:rPr>
          <w:rFonts w:ascii="Arial Narrow" w:hAnsi="Arial Narrow"/>
          <w:lang w:val="pl-PL"/>
        </w:rPr>
        <w:t xml:space="preserve">Aby recykling plastiku był możliwy, konieczna jest odpowiednia segregacja odpadów przez konsumentów. Jeśli wyrzucimy butelkę PET do właściwego kosza </w:t>
      </w:r>
      <w:r w:rsidR="008B7FE5">
        <w:rPr>
          <w:rFonts w:ascii="Arial Narrow" w:hAnsi="Arial Narrow"/>
          <w:lang w:val="pl-PL"/>
        </w:rPr>
        <w:t xml:space="preserve">przeznaczonego na tworzywa sztuczne </w:t>
      </w:r>
      <w:r w:rsidRPr="003C02DE">
        <w:rPr>
          <w:rFonts w:ascii="Arial Narrow" w:hAnsi="Arial Narrow"/>
          <w:lang w:val="pl-PL"/>
        </w:rPr>
        <w:t>(najczęściej jest on koloru żółtego), ma ona szansę na „drugie życie”. Każdy z nas może więc przyczynić się do zwiększenia poziomu recyklingu, a co za tym idzie – do ochrony środowiska.</w:t>
      </w:r>
    </w:p>
    <w:p w14:paraId="4EC5D622" w14:textId="77777777" w:rsidR="000131AC" w:rsidRPr="003C02DE" w:rsidRDefault="000131AC" w:rsidP="003C02DE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5FE264FB" w14:textId="31803B28" w:rsidR="003C02DE" w:rsidRDefault="003C02DE" w:rsidP="003C02DE">
      <w:pPr>
        <w:spacing w:line="276" w:lineRule="auto"/>
        <w:jc w:val="both"/>
        <w:rPr>
          <w:rFonts w:ascii="Arial Narrow" w:hAnsi="Arial Narrow"/>
          <w:lang w:val="pl-PL"/>
        </w:rPr>
      </w:pPr>
      <w:r w:rsidRPr="003C02DE">
        <w:rPr>
          <w:rFonts w:ascii="Arial Narrow" w:hAnsi="Arial Narrow"/>
          <w:lang w:val="pl-PL"/>
        </w:rPr>
        <w:t>Butelki Nałęczowianki 1L w opakowaniu z 50% PET z recyklingu będą dostępne w sieci LIDL od 25 listopada br. (edycja limitowana). W przyszłym roku</w:t>
      </w:r>
      <w:r w:rsidR="003C311C">
        <w:rPr>
          <w:rFonts w:ascii="Arial Narrow" w:hAnsi="Arial Narrow"/>
          <w:lang w:val="pl-PL"/>
        </w:rPr>
        <w:t xml:space="preserve"> marka </w:t>
      </w:r>
      <w:bookmarkStart w:id="0" w:name="_GoBack"/>
      <w:bookmarkEnd w:id="0"/>
      <w:r w:rsidRPr="003C02DE">
        <w:rPr>
          <w:rFonts w:ascii="Arial Narrow" w:hAnsi="Arial Narrow"/>
          <w:lang w:val="pl-PL"/>
        </w:rPr>
        <w:t xml:space="preserve">planuje </w:t>
      </w:r>
      <w:r w:rsidR="008B7FE5">
        <w:rPr>
          <w:rFonts w:ascii="Arial Narrow" w:hAnsi="Arial Narrow"/>
          <w:lang w:val="pl-PL"/>
        </w:rPr>
        <w:t>w</w:t>
      </w:r>
      <w:r w:rsidRPr="003C02DE">
        <w:rPr>
          <w:rFonts w:ascii="Arial Narrow" w:hAnsi="Arial Narrow"/>
          <w:lang w:val="pl-PL"/>
        </w:rPr>
        <w:t>prowadzić ko</w:t>
      </w:r>
      <w:r w:rsidR="000131AC">
        <w:rPr>
          <w:rFonts w:ascii="Arial Narrow" w:hAnsi="Arial Narrow"/>
          <w:lang w:val="pl-PL"/>
        </w:rPr>
        <w:t>lejne produkty w opakowaniach z </w:t>
      </w:r>
      <w:r w:rsidRPr="003C02DE">
        <w:rPr>
          <w:rFonts w:ascii="Arial Narrow" w:hAnsi="Arial Narrow"/>
          <w:lang w:val="pl-PL"/>
        </w:rPr>
        <w:t>surowców wtórnych.</w:t>
      </w:r>
    </w:p>
    <w:p w14:paraId="35674EF9" w14:textId="16B4C074" w:rsidR="0087100F" w:rsidRPr="003C02DE" w:rsidRDefault="0087100F" w:rsidP="003C02DE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tbl>
      <w:tblPr>
        <w:tblW w:w="105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14"/>
        <w:gridCol w:w="222"/>
        <w:gridCol w:w="222"/>
      </w:tblGrid>
      <w:tr w:rsidR="004D1557" w:rsidRPr="003C02DE" w14:paraId="5E9512EA" w14:textId="77777777" w:rsidTr="0090352D">
        <w:tc>
          <w:tcPr>
            <w:tcW w:w="10114" w:type="dxa"/>
            <w:shd w:val="clear" w:color="auto" w:fill="auto"/>
          </w:tcPr>
          <w:tbl>
            <w:tblPr>
              <w:tblW w:w="988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367"/>
              <w:gridCol w:w="5521"/>
            </w:tblGrid>
            <w:tr w:rsidR="0090352D" w:rsidRPr="003C02DE" w14:paraId="3567E1ED" w14:textId="77777777" w:rsidTr="005868EC">
              <w:tc>
                <w:tcPr>
                  <w:tcW w:w="2802" w:type="dxa"/>
                  <w:shd w:val="clear" w:color="auto" w:fill="auto"/>
                </w:tcPr>
                <w:p w14:paraId="1305A115" w14:textId="36F22744" w:rsidR="0090352D" w:rsidRPr="001D0D0E" w:rsidRDefault="001D2931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</w:pPr>
                  <w:r w:rsidRPr="001D0D0E"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  <w:br w:type="column"/>
                  </w:r>
                  <w:r w:rsidR="000131AC" w:rsidRPr="001D0D0E"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  <w:t>Iwona Krześniak</w:t>
                  </w:r>
                </w:p>
                <w:p w14:paraId="5A01629E" w14:textId="708247BF" w:rsidR="0090352D" w:rsidRPr="001D0D0E" w:rsidRDefault="000131AC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</w:pPr>
                  <w:r w:rsidRPr="001D0D0E"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  <w:t>Sensi Gray</w:t>
                  </w:r>
                </w:p>
                <w:p w14:paraId="023125E3" w14:textId="67893355" w:rsidR="0090352D" w:rsidRPr="001D0D0E" w:rsidRDefault="0090352D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</w:pPr>
                  <w:r w:rsidRPr="001D0D0E"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  <w:t xml:space="preserve">Email: </w:t>
                  </w:r>
                  <w:r w:rsidR="000131AC" w:rsidRPr="001D0D0E"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  <w:t>i.krzesniak@gray.com.pl</w:t>
                  </w:r>
                </w:p>
                <w:p w14:paraId="068253FF" w14:textId="2AD31989" w:rsidR="0090352D" w:rsidRPr="003C02DE" w:rsidRDefault="000131AC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>Tel.:</w:t>
                  </w:r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 </w:t>
                  </w:r>
                  <w:r w:rsidRPr="000131AC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>530 200 009</w:t>
                  </w:r>
                </w:p>
                <w:p w14:paraId="4B569DAC" w14:textId="77777777" w:rsidR="0090352D" w:rsidRPr="000131AC" w:rsidRDefault="0090352D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54EBB71C" w14:textId="77777777" w:rsidR="0090352D" w:rsidRPr="000131AC" w:rsidRDefault="0090352D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</w:pPr>
                  <w:r w:rsidRPr="000131AC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Joanna Purzycka </w:t>
                  </w:r>
                </w:p>
                <w:p w14:paraId="71DC8F07" w14:textId="597943D7" w:rsidR="0090352D" w:rsidRPr="000131AC" w:rsidRDefault="00C96A94" w:rsidP="000131AC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</w:pPr>
                  <w:r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Koordynator ds. PR </w:t>
                  </w:r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Nestlé Waters </w:t>
                  </w:r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br/>
                    <w:t>Email: Joanna.Purzycka@pl.nestle.com</w:t>
                  </w:r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br/>
                  </w:r>
                  <w:r w:rsidR="000131AC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>Tel</w:t>
                  </w:r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: </w:t>
                  </w:r>
                  <w:r w:rsidR="0090352D" w:rsidRPr="000131AC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>+</w:t>
                  </w:r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48 600 040 402 </w:t>
                  </w:r>
                </w:p>
              </w:tc>
            </w:tr>
          </w:tbl>
          <w:p w14:paraId="11677756" w14:textId="77777777" w:rsidR="004D1557" w:rsidRPr="003C02DE" w:rsidRDefault="004D1557" w:rsidP="003C02DE">
            <w:pPr>
              <w:spacing w:line="276" w:lineRule="auto"/>
              <w:rPr>
                <w:rFonts w:ascii="Arial Narrow" w:hAnsi="Arial Narrow"/>
                <w:bCs/>
                <w:color w:val="808080"/>
                <w:sz w:val="20"/>
                <w:lang w:val="en-GB" w:eastAsia="pl-PL"/>
              </w:rPr>
            </w:pPr>
          </w:p>
        </w:tc>
        <w:tc>
          <w:tcPr>
            <w:tcW w:w="222" w:type="dxa"/>
            <w:shd w:val="clear" w:color="auto" w:fill="auto"/>
          </w:tcPr>
          <w:p w14:paraId="4959E9FF" w14:textId="77777777" w:rsidR="004D1557" w:rsidRPr="003C02DE" w:rsidRDefault="004D1557" w:rsidP="003C02DE">
            <w:pPr>
              <w:spacing w:line="276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</w:p>
        </w:tc>
        <w:tc>
          <w:tcPr>
            <w:tcW w:w="222" w:type="dxa"/>
          </w:tcPr>
          <w:p w14:paraId="1972A79E" w14:textId="77777777" w:rsidR="004D1557" w:rsidRPr="003C02DE" w:rsidDel="00DF29E8" w:rsidRDefault="004D1557" w:rsidP="003C02DE">
            <w:pPr>
              <w:spacing w:line="276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</w:p>
        </w:tc>
      </w:tr>
    </w:tbl>
    <w:p w14:paraId="69DD0495" w14:textId="77777777" w:rsidR="004D1557" w:rsidRPr="001D0D0E" w:rsidRDefault="004D1557" w:rsidP="003C02DE">
      <w:pPr>
        <w:shd w:val="clear" w:color="auto" w:fill="FFFFFF"/>
        <w:spacing w:line="276" w:lineRule="auto"/>
        <w:jc w:val="both"/>
        <w:rPr>
          <w:rFonts w:ascii="Arial Narrow" w:hAnsi="Arial Narrow"/>
          <w:b/>
          <w:bCs/>
          <w:color w:val="808080"/>
          <w:sz w:val="12"/>
          <w:lang w:val="pl-PL" w:eastAsia="pl-PL"/>
        </w:rPr>
      </w:pPr>
      <w:r w:rsidRPr="001D0D0E">
        <w:rPr>
          <w:rFonts w:ascii="Arial Narrow" w:hAnsi="Arial Narrow"/>
          <w:b/>
          <w:bCs/>
          <w:color w:val="808080"/>
          <w:sz w:val="12"/>
          <w:lang w:val="pl-PL" w:eastAsia="pl-PL"/>
        </w:rPr>
        <w:t>O Nestl</w:t>
      </w:r>
      <w:r w:rsidRPr="001D0D0E">
        <w:rPr>
          <w:rFonts w:ascii="Arial Narrow" w:hAnsi="Arial Narrow" w:cs="Segoe UI Light"/>
          <w:b/>
          <w:bCs/>
          <w:color w:val="808080"/>
          <w:sz w:val="12"/>
          <w:lang w:val="pl-PL" w:eastAsia="pl-PL"/>
        </w:rPr>
        <w:t>é</w:t>
      </w:r>
    </w:p>
    <w:p w14:paraId="5F05BFA3" w14:textId="2AA2754E" w:rsidR="004D1557" w:rsidRPr="003C02DE" w:rsidRDefault="004D1557" w:rsidP="003C02DE">
      <w:pPr>
        <w:spacing w:line="276" w:lineRule="auto"/>
        <w:jc w:val="both"/>
        <w:rPr>
          <w:rFonts w:ascii="Arial Narrow" w:hAnsi="Arial Narrow"/>
          <w:sz w:val="12"/>
          <w:lang w:val="pl-PL"/>
        </w:rPr>
      </w:pPr>
      <w:r w:rsidRPr="001D0D0E">
        <w:rPr>
          <w:rFonts w:ascii="Arial Narrow" w:hAnsi="Arial Narrow"/>
          <w:color w:val="808080"/>
          <w:sz w:val="12"/>
          <w:lang w:val="pl-PL" w:eastAsia="pl-PL"/>
        </w:rPr>
        <w:t>N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estlé w Polsce jest wiodącą firmą w obszarze żywienia, zdrowia i dobrego samopoczucia z portfolio </w:t>
      </w:r>
      <w:r w:rsidR="00AA33E3">
        <w:rPr>
          <w:rFonts w:ascii="Arial Narrow" w:hAnsi="Arial Narrow"/>
          <w:color w:val="808080"/>
          <w:sz w:val="12"/>
          <w:lang w:val="pl-PL" w:eastAsia="pl-PL"/>
        </w:rPr>
        <w:t xml:space="preserve">blisko 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>1</w:t>
      </w:r>
      <w:r w:rsidR="00AA33E3">
        <w:rPr>
          <w:rFonts w:ascii="Arial Narrow" w:hAnsi="Arial Narrow"/>
          <w:color w:val="808080"/>
          <w:sz w:val="12"/>
          <w:lang w:val="pl-PL" w:eastAsia="pl-PL"/>
        </w:rPr>
        <w:t>6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>00 produktów i prawie 70 marek, w tym m.in.: NESCAFĒ, WINIARY, GERBER, PRINCESSA, KIT KAT, LION, NESQUIK, NAŁĘCZOWIANKA oraz PURINA. Nestlé działa na polskim rynku od ponad 2</w:t>
      </w:r>
      <w:r w:rsidR="00F654B5" w:rsidRPr="003C02DE">
        <w:rPr>
          <w:rFonts w:ascii="Arial Narrow" w:hAnsi="Arial Narrow"/>
          <w:color w:val="808080"/>
          <w:sz w:val="12"/>
          <w:lang w:val="pl-PL" w:eastAsia="pl-PL"/>
        </w:rPr>
        <w:t>5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 lat. Firma zatrudnia aktualnie 5</w:t>
      </w:r>
      <w:r w:rsidR="00AA33E3">
        <w:rPr>
          <w:rFonts w:ascii="Arial Narrow" w:hAnsi="Arial Narrow"/>
          <w:color w:val="808080"/>
          <w:sz w:val="12"/>
          <w:lang w:val="pl-PL" w:eastAsia="pl-PL"/>
        </w:rPr>
        <w:t>5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00 pracowników w 8 lokalizacjach. </w:t>
      </w:r>
    </w:p>
    <w:p w14:paraId="7A95C58D" w14:textId="77777777" w:rsidR="004D1557" w:rsidRPr="003C02DE" w:rsidRDefault="004D1557" w:rsidP="003C02DE">
      <w:pPr>
        <w:spacing w:line="276" w:lineRule="auto"/>
        <w:rPr>
          <w:rFonts w:ascii="Arial Narrow" w:hAnsi="Arial Narrow"/>
          <w:noProof/>
          <w:sz w:val="14"/>
          <w:lang w:val="pl-PL" w:eastAsia="pl-PL"/>
        </w:rPr>
      </w:pPr>
    </w:p>
    <w:p w14:paraId="2D112B86" w14:textId="77777777" w:rsidR="0090352D" w:rsidRPr="003C02DE" w:rsidRDefault="0090352D" w:rsidP="003C02DE">
      <w:pPr>
        <w:shd w:val="clear" w:color="auto" w:fill="FFFFFF"/>
        <w:spacing w:line="276" w:lineRule="auto"/>
        <w:jc w:val="both"/>
        <w:rPr>
          <w:rFonts w:ascii="Arial Narrow" w:hAnsi="Arial Narrow"/>
          <w:b/>
          <w:bCs/>
          <w:color w:val="808080"/>
          <w:sz w:val="12"/>
          <w:lang w:val="pl-PL" w:eastAsia="pl-PL"/>
        </w:rPr>
      </w:pPr>
      <w:r w:rsidRPr="003C02DE">
        <w:rPr>
          <w:rFonts w:ascii="Arial Narrow" w:hAnsi="Arial Narrow"/>
          <w:b/>
          <w:bCs/>
          <w:color w:val="808080"/>
          <w:sz w:val="12"/>
          <w:lang w:val="pl-PL" w:eastAsia="pl-PL"/>
        </w:rPr>
        <w:t>O Nestlé Waters</w:t>
      </w:r>
    </w:p>
    <w:p w14:paraId="6519C726" w14:textId="08D50E4E" w:rsidR="00367A9C" w:rsidRPr="003C02DE" w:rsidRDefault="00A4636F" w:rsidP="003C02DE">
      <w:pPr>
        <w:spacing w:line="276" w:lineRule="auto"/>
        <w:jc w:val="both"/>
        <w:rPr>
          <w:rFonts w:ascii="Arial Narrow" w:hAnsi="Arial Narrow"/>
          <w:sz w:val="14"/>
          <w:lang w:val="pl-PL"/>
        </w:rPr>
      </w:pP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Numer 1 na świecie w produkcji wody butelkowanej. Firma prowadzi swoją działalność produkcyjną w </w:t>
      </w:r>
      <w:r w:rsidR="001D3FBA" w:rsidRPr="003C02DE">
        <w:rPr>
          <w:rFonts w:ascii="Arial Narrow" w:hAnsi="Arial Narrow"/>
          <w:color w:val="808080"/>
          <w:sz w:val="12"/>
          <w:lang w:val="pl-PL" w:eastAsia="pl-PL"/>
        </w:rPr>
        <w:t xml:space="preserve">30 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krajach, posiada </w:t>
      </w:r>
      <w:r w:rsidR="001D3FBA" w:rsidRPr="003C02DE">
        <w:rPr>
          <w:rFonts w:ascii="Arial Narrow" w:hAnsi="Arial Narrow"/>
          <w:color w:val="808080"/>
          <w:sz w:val="12"/>
          <w:lang w:val="pl-PL" w:eastAsia="pl-PL"/>
        </w:rPr>
        <w:t xml:space="preserve">87 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>zakład</w:t>
      </w:r>
      <w:r w:rsidR="001D3FBA" w:rsidRPr="003C02DE">
        <w:rPr>
          <w:rFonts w:ascii="Arial Narrow" w:hAnsi="Arial Narrow"/>
          <w:color w:val="808080"/>
          <w:sz w:val="12"/>
          <w:lang w:val="pl-PL" w:eastAsia="pl-PL"/>
        </w:rPr>
        <w:t>ów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 i zatrudnia </w:t>
      </w:r>
      <w:r w:rsidR="001D3FBA" w:rsidRPr="003C02DE">
        <w:rPr>
          <w:rFonts w:ascii="Arial Narrow" w:hAnsi="Arial Narrow"/>
          <w:color w:val="808080"/>
          <w:sz w:val="12"/>
          <w:lang w:val="pl-PL" w:eastAsia="pl-PL"/>
        </w:rPr>
        <w:t>b</w:t>
      </w:r>
      <w:r w:rsidR="00CB01E6" w:rsidRPr="003C02DE">
        <w:rPr>
          <w:rFonts w:ascii="Arial Narrow" w:hAnsi="Arial Narrow"/>
          <w:color w:val="808080"/>
          <w:sz w:val="12"/>
          <w:lang w:val="pl-PL" w:eastAsia="pl-PL"/>
        </w:rPr>
        <w:t>l</w:t>
      </w:r>
      <w:r w:rsidR="001D3FBA" w:rsidRPr="003C02DE">
        <w:rPr>
          <w:rFonts w:ascii="Arial Narrow" w:hAnsi="Arial Narrow"/>
          <w:color w:val="808080"/>
          <w:sz w:val="12"/>
          <w:lang w:val="pl-PL" w:eastAsia="pl-PL"/>
        </w:rPr>
        <w:t>isko 28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 tys. pracowników. W portfolio Nestlé Waters znajduje się </w:t>
      </w:r>
      <w:r w:rsidR="00B114C9" w:rsidRPr="003C02DE">
        <w:rPr>
          <w:rFonts w:ascii="Arial Narrow" w:hAnsi="Arial Narrow"/>
          <w:color w:val="808080"/>
          <w:sz w:val="12"/>
          <w:lang w:val="pl-PL" w:eastAsia="pl-PL"/>
        </w:rPr>
        <w:t>48</w:t>
      </w:r>
      <w:r w:rsidR="005D40B8" w:rsidRPr="003C02DE">
        <w:rPr>
          <w:rFonts w:ascii="Arial Narrow" w:hAnsi="Arial Narrow"/>
          <w:color w:val="808080"/>
          <w:sz w:val="12"/>
          <w:lang w:val="pl-PL" w:eastAsia="pl-PL"/>
        </w:rPr>
        <w:t xml:space="preserve"> 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>unikatowych marek (od naturalnych wód mineralnych po wody stołowe), włączając w to markę Nestlé Pure Life, wodę Acqua Panna, wody gazowane Perrier i S.Pellegrino oraz rozlewaną w Polsce Nałęczowiankę.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sectPr w:rsidR="00367A9C" w:rsidRPr="003C02DE" w:rsidSect="00A4636F">
      <w:headerReference w:type="default" r:id="rId12"/>
      <w:footerReference w:type="even" r:id="rId13"/>
      <w:footerReference w:type="default" r:id="rId14"/>
      <w:pgSz w:w="11906" w:h="16838"/>
      <w:pgMar w:top="3969" w:right="1021" w:bottom="2268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9D89" w14:textId="77777777" w:rsidR="00C15A25" w:rsidRDefault="00C15A25">
      <w:r>
        <w:separator/>
      </w:r>
    </w:p>
  </w:endnote>
  <w:endnote w:type="continuationSeparator" w:id="0">
    <w:p w14:paraId="65656050" w14:textId="77777777" w:rsidR="00C15A25" w:rsidRDefault="00C1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10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12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E3335" w14:textId="77777777" w:rsidR="00C15A25" w:rsidRDefault="00C15A25">
      <w:r>
        <w:separator/>
      </w:r>
    </w:p>
  </w:footnote>
  <w:footnote w:type="continuationSeparator" w:id="0">
    <w:p w14:paraId="6510716F" w14:textId="77777777" w:rsidR="00C15A25" w:rsidRDefault="00C1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4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5383"/>
    </w:tblGrid>
    <w:tr w:rsidR="0055505A" w:rsidRPr="000E18E3" w14:paraId="6519C72F" w14:textId="77777777" w:rsidTr="00E31868">
      <w:trPr>
        <w:trHeight w:val="720"/>
      </w:trPr>
      <w:tc>
        <w:tcPr>
          <w:tcW w:w="2168" w:type="pct"/>
        </w:tcPr>
        <w:p w14:paraId="6519C72B" w14:textId="369F1473" w:rsidR="0055505A" w:rsidRPr="00EC4A9D" w:rsidRDefault="0055505A" w:rsidP="00E31868">
          <w:pPr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E31868">
          <w:pPr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E31868">
          <w:pPr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2832" w:type="pct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6672" behindDoc="0" locked="0" layoutInCell="1" allowOverlap="1" wp14:anchorId="34450D34" wp14:editId="2413E78D">
                <wp:simplePos x="0" y="0"/>
                <wp:positionH relativeFrom="column">
                  <wp:posOffset>1663065</wp:posOffset>
                </wp:positionH>
                <wp:positionV relativeFrom="paragraph">
                  <wp:posOffset>0</wp:posOffset>
                </wp:positionV>
                <wp:extent cx="1703705" cy="771525"/>
                <wp:effectExtent l="0" t="0" r="0" b="9525"/>
                <wp:wrapSquare wrapText="bothSides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4F08E32A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652099">
      <w:rPr>
        <w:color w:val="808080"/>
        <w:sz w:val="14"/>
      </w:rPr>
      <w:t>48 378 300,00 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3913"/>
    <w:multiLevelType w:val="hybridMultilevel"/>
    <w:tmpl w:val="B04A8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C"/>
    <w:rsid w:val="00002F18"/>
    <w:rsid w:val="00005183"/>
    <w:rsid w:val="000131AC"/>
    <w:rsid w:val="0002292D"/>
    <w:rsid w:val="00027956"/>
    <w:rsid w:val="00031EA6"/>
    <w:rsid w:val="0003231D"/>
    <w:rsid w:val="00040935"/>
    <w:rsid w:val="00043191"/>
    <w:rsid w:val="00051F01"/>
    <w:rsid w:val="000574BC"/>
    <w:rsid w:val="00063870"/>
    <w:rsid w:val="0006713E"/>
    <w:rsid w:val="00077299"/>
    <w:rsid w:val="00083E35"/>
    <w:rsid w:val="00097615"/>
    <w:rsid w:val="00097FF2"/>
    <w:rsid w:val="000A4D21"/>
    <w:rsid w:val="000A5AF7"/>
    <w:rsid w:val="000B2392"/>
    <w:rsid w:val="000B3DB4"/>
    <w:rsid w:val="000C015D"/>
    <w:rsid w:val="000C65F2"/>
    <w:rsid w:val="000D4510"/>
    <w:rsid w:val="000E18E3"/>
    <w:rsid w:val="000E3DBA"/>
    <w:rsid w:val="000F4FF3"/>
    <w:rsid w:val="001177A4"/>
    <w:rsid w:val="001230D9"/>
    <w:rsid w:val="00134FCF"/>
    <w:rsid w:val="00135F8C"/>
    <w:rsid w:val="00140574"/>
    <w:rsid w:val="001435C0"/>
    <w:rsid w:val="00177296"/>
    <w:rsid w:val="001817D6"/>
    <w:rsid w:val="0018269B"/>
    <w:rsid w:val="00187938"/>
    <w:rsid w:val="00191EDD"/>
    <w:rsid w:val="00193F04"/>
    <w:rsid w:val="001A5C77"/>
    <w:rsid w:val="001B0E32"/>
    <w:rsid w:val="001B106A"/>
    <w:rsid w:val="001B3DAB"/>
    <w:rsid w:val="001B4DE3"/>
    <w:rsid w:val="001B7B01"/>
    <w:rsid w:val="001C5998"/>
    <w:rsid w:val="001D0D0E"/>
    <w:rsid w:val="001D1EB1"/>
    <w:rsid w:val="001D2931"/>
    <w:rsid w:val="001D3FBA"/>
    <w:rsid w:val="001D4026"/>
    <w:rsid w:val="001F0DFF"/>
    <w:rsid w:val="001F4D39"/>
    <w:rsid w:val="001F5A82"/>
    <w:rsid w:val="001F629F"/>
    <w:rsid w:val="00203433"/>
    <w:rsid w:val="0021277E"/>
    <w:rsid w:val="00212DE1"/>
    <w:rsid w:val="00214566"/>
    <w:rsid w:val="00214EC7"/>
    <w:rsid w:val="00215431"/>
    <w:rsid w:val="002177C6"/>
    <w:rsid w:val="002240B4"/>
    <w:rsid w:val="00224653"/>
    <w:rsid w:val="00224804"/>
    <w:rsid w:val="00224B3E"/>
    <w:rsid w:val="00233C6E"/>
    <w:rsid w:val="002344C9"/>
    <w:rsid w:val="00240825"/>
    <w:rsid w:val="00241653"/>
    <w:rsid w:val="00246BBD"/>
    <w:rsid w:val="00251343"/>
    <w:rsid w:val="00261AB0"/>
    <w:rsid w:val="002747B0"/>
    <w:rsid w:val="00283E1E"/>
    <w:rsid w:val="002A6FF4"/>
    <w:rsid w:val="002A7212"/>
    <w:rsid w:val="002C314B"/>
    <w:rsid w:val="002D3AD2"/>
    <w:rsid w:val="002E05F2"/>
    <w:rsid w:val="002E40A7"/>
    <w:rsid w:val="002F156C"/>
    <w:rsid w:val="002F19B4"/>
    <w:rsid w:val="002F26E8"/>
    <w:rsid w:val="002F2CEA"/>
    <w:rsid w:val="003001F9"/>
    <w:rsid w:val="00323309"/>
    <w:rsid w:val="003236B7"/>
    <w:rsid w:val="00334DB2"/>
    <w:rsid w:val="00335988"/>
    <w:rsid w:val="0035610D"/>
    <w:rsid w:val="00362FC1"/>
    <w:rsid w:val="0036639B"/>
    <w:rsid w:val="00367A9C"/>
    <w:rsid w:val="0038542C"/>
    <w:rsid w:val="00392E6A"/>
    <w:rsid w:val="00396E84"/>
    <w:rsid w:val="003A7DC1"/>
    <w:rsid w:val="003B3F72"/>
    <w:rsid w:val="003B6830"/>
    <w:rsid w:val="003C02DE"/>
    <w:rsid w:val="003C311C"/>
    <w:rsid w:val="003C6C57"/>
    <w:rsid w:val="003C7AA7"/>
    <w:rsid w:val="003D5BF1"/>
    <w:rsid w:val="003D67A2"/>
    <w:rsid w:val="003E1625"/>
    <w:rsid w:val="003E3321"/>
    <w:rsid w:val="003F6B51"/>
    <w:rsid w:val="00402F91"/>
    <w:rsid w:val="00404ECD"/>
    <w:rsid w:val="00405A67"/>
    <w:rsid w:val="004109C8"/>
    <w:rsid w:val="00416E6E"/>
    <w:rsid w:val="00421908"/>
    <w:rsid w:val="00422029"/>
    <w:rsid w:val="00425839"/>
    <w:rsid w:val="00427783"/>
    <w:rsid w:val="00432776"/>
    <w:rsid w:val="0043374C"/>
    <w:rsid w:val="00433FCB"/>
    <w:rsid w:val="0044551A"/>
    <w:rsid w:val="00445D7D"/>
    <w:rsid w:val="00457FDA"/>
    <w:rsid w:val="00470ED2"/>
    <w:rsid w:val="0047516B"/>
    <w:rsid w:val="004769CE"/>
    <w:rsid w:val="00476DF6"/>
    <w:rsid w:val="00481685"/>
    <w:rsid w:val="00484695"/>
    <w:rsid w:val="0048472F"/>
    <w:rsid w:val="00486854"/>
    <w:rsid w:val="00487662"/>
    <w:rsid w:val="0049361C"/>
    <w:rsid w:val="004A0863"/>
    <w:rsid w:val="004A23BD"/>
    <w:rsid w:val="004A59D8"/>
    <w:rsid w:val="004A7512"/>
    <w:rsid w:val="004C22B1"/>
    <w:rsid w:val="004C2315"/>
    <w:rsid w:val="004C78A9"/>
    <w:rsid w:val="004D1557"/>
    <w:rsid w:val="004D42DF"/>
    <w:rsid w:val="004D48F9"/>
    <w:rsid w:val="004E21E4"/>
    <w:rsid w:val="004E3A01"/>
    <w:rsid w:val="004E4E5E"/>
    <w:rsid w:val="004F3770"/>
    <w:rsid w:val="004F3CE4"/>
    <w:rsid w:val="00500547"/>
    <w:rsid w:val="005015CC"/>
    <w:rsid w:val="00511E27"/>
    <w:rsid w:val="00513165"/>
    <w:rsid w:val="00522E5F"/>
    <w:rsid w:val="0052405E"/>
    <w:rsid w:val="005268EC"/>
    <w:rsid w:val="00531CCA"/>
    <w:rsid w:val="00552FED"/>
    <w:rsid w:val="0055505A"/>
    <w:rsid w:val="0056312C"/>
    <w:rsid w:val="00565E92"/>
    <w:rsid w:val="005671AD"/>
    <w:rsid w:val="00580BC1"/>
    <w:rsid w:val="00591E86"/>
    <w:rsid w:val="005A6B91"/>
    <w:rsid w:val="005B0CE6"/>
    <w:rsid w:val="005B49AC"/>
    <w:rsid w:val="005C50A8"/>
    <w:rsid w:val="005C7CCE"/>
    <w:rsid w:val="005D40B8"/>
    <w:rsid w:val="005E54A4"/>
    <w:rsid w:val="005E5D03"/>
    <w:rsid w:val="005F3FAB"/>
    <w:rsid w:val="005F4C8A"/>
    <w:rsid w:val="005F701B"/>
    <w:rsid w:val="006041F9"/>
    <w:rsid w:val="0060747F"/>
    <w:rsid w:val="00633FCA"/>
    <w:rsid w:val="00634655"/>
    <w:rsid w:val="006419B3"/>
    <w:rsid w:val="00652099"/>
    <w:rsid w:val="00663F20"/>
    <w:rsid w:val="00664860"/>
    <w:rsid w:val="00667D9C"/>
    <w:rsid w:val="006724A4"/>
    <w:rsid w:val="00673C4C"/>
    <w:rsid w:val="006765C8"/>
    <w:rsid w:val="006A6C9E"/>
    <w:rsid w:val="006B6E5F"/>
    <w:rsid w:val="006B7D9A"/>
    <w:rsid w:val="006C1D8D"/>
    <w:rsid w:val="006C252D"/>
    <w:rsid w:val="006D7EB4"/>
    <w:rsid w:val="006E2B13"/>
    <w:rsid w:val="006E6103"/>
    <w:rsid w:val="00701CD1"/>
    <w:rsid w:val="00701CE3"/>
    <w:rsid w:val="007045EE"/>
    <w:rsid w:val="00722864"/>
    <w:rsid w:val="00725FC7"/>
    <w:rsid w:val="00735B88"/>
    <w:rsid w:val="00741202"/>
    <w:rsid w:val="0074156C"/>
    <w:rsid w:val="0074182D"/>
    <w:rsid w:val="00761F37"/>
    <w:rsid w:val="00765201"/>
    <w:rsid w:val="0076592E"/>
    <w:rsid w:val="0077057A"/>
    <w:rsid w:val="0077506D"/>
    <w:rsid w:val="007A1080"/>
    <w:rsid w:val="007A4586"/>
    <w:rsid w:val="007B2BC4"/>
    <w:rsid w:val="007C1648"/>
    <w:rsid w:val="007D45CE"/>
    <w:rsid w:val="007F00CC"/>
    <w:rsid w:val="007F1860"/>
    <w:rsid w:val="00804D73"/>
    <w:rsid w:val="0080536B"/>
    <w:rsid w:val="00815F07"/>
    <w:rsid w:val="00821466"/>
    <w:rsid w:val="00824169"/>
    <w:rsid w:val="00831CFC"/>
    <w:rsid w:val="00833CEC"/>
    <w:rsid w:val="00836086"/>
    <w:rsid w:val="00846F38"/>
    <w:rsid w:val="00851121"/>
    <w:rsid w:val="0087100F"/>
    <w:rsid w:val="00872F65"/>
    <w:rsid w:val="0087560A"/>
    <w:rsid w:val="008804A1"/>
    <w:rsid w:val="00891C3D"/>
    <w:rsid w:val="00891E2C"/>
    <w:rsid w:val="008A76D5"/>
    <w:rsid w:val="008B5957"/>
    <w:rsid w:val="008B7FE5"/>
    <w:rsid w:val="008E1A81"/>
    <w:rsid w:val="008E5EB7"/>
    <w:rsid w:val="008E6891"/>
    <w:rsid w:val="008E7D4D"/>
    <w:rsid w:val="008F7DB4"/>
    <w:rsid w:val="0090352D"/>
    <w:rsid w:val="0091742B"/>
    <w:rsid w:val="00926381"/>
    <w:rsid w:val="00930F6C"/>
    <w:rsid w:val="00932D55"/>
    <w:rsid w:val="009353BA"/>
    <w:rsid w:val="00941BB1"/>
    <w:rsid w:val="00952B96"/>
    <w:rsid w:val="009545D2"/>
    <w:rsid w:val="00960008"/>
    <w:rsid w:val="00963DAA"/>
    <w:rsid w:val="0097218D"/>
    <w:rsid w:val="009777FC"/>
    <w:rsid w:val="009829BF"/>
    <w:rsid w:val="009A3144"/>
    <w:rsid w:val="009A6838"/>
    <w:rsid w:val="009B7991"/>
    <w:rsid w:val="009E0D66"/>
    <w:rsid w:val="009E2C8C"/>
    <w:rsid w:val="009F080A"/>
    <w:rsid w:val="009F1276"/>
    <w:rsid w:val="009F25E0"/>
    <w:rsid w:val="009F3184"/>
    <w:rsid w:val="009F33A2"/>
    <w:rsid w:val="00A04AB0"/>
    <w:rsid w:val="00A1700C"/>
    <w:rsid w:val="00A17F00"/>
    <w:rsid w:val="00A217AB"/>
    <w:rsid w:val="00A319CC"/>
    <w:rsid w:val="00A41B1A"/>
    <w:rsid w:val="00A4636F"/>
    <w:rsid w:val="00A463E4"/>
    <w:rsid w:val="00A62C75"/>
    <w:rsid w:val="00A66418"/>
    <w:rsid w:val="00A80A5C"/>
    <w:rsid w:val="00AA33E3"/>
    <w:rsid w:val="00AA5533"/>
    <w:rsid w:val="00AB16C0"/>
    <w:rsid w:val="00AB7ACB"/>
    <w:rsid w:val="00AD135E"/>
    <w:rsid w:val="00AD7435"/>
    <w:rsid w:val="00AE3F08"/>
    <w:rsid w:val="00AF188C"/>
    <w:rsid w:val="00B00F3B"/>
    <w:rsid w:val="00B03A5B"/>
    <w:rsid w:val="00B114C9"/>
    <w:rsid w:val="00B12529"/>
    <w:rsid w:val="00B216BA"/>
    <w:rsid w:val="00B231F7"/>
    <w:rsid w:val="00B23BBE"/>
    <w:rsid w:val="00B366B5"/>
    <w:rsid w:val="00B376C4"/>
    <w:rsid w:val="00B378AD"/>
    <w:rsid w:val="00B37C39"/>
    <w:rsid w:val="00B41566"/>
    <w:rsid w:val="00B4460A"/>
    <w:rsid w:val="00B5559C"/>
    <w:rsid w:val="00B56FC6"/>
    <w:rsid w:val="00B614A2"/>
    <w:rsid w:val="00B631D5"/>
    <w:rsid w:val="00B81D88"/>
    <w:rsid w:val="00B82101"/>
    <w:rsid w:val="00B825F7"/>
    <w:rsid w:val="00B93899"/>
    <w:rsid w:val="00B95BE6"/>
    <w:rsid w:val="00BA2F10"/>
    <w:rsid w:val="00BA3FFD"/>
    <w:rsid w:val="00BA48E0"/>
    <w:rsid w:val="00BB5F42"/>
    <w:rsid w:val="00BC3FCB"/>
    <w:rsid w:val="00BD6396"/>
    <w:rsid w:val="00BE4FE3"/>
    <w:rsid w:val="00BF50FF"/>
    <w:rsid w:val="00BF52EC"/>
    <w:rsid w:val="00C038E2"/>
    <w:rsid w:val="00C15A25"/>
    <w:rsid w:val="00C3210E"/>
    <w:rsid w:val="00C37E0B"/>
    <w:rsid w:val="00C43B24"/>
    <w:rsid w:val="00C57864"/>
    <w:rsid w:val="00C6155D"/>
    <w:rsid w:val="00C62E2F"/>
    <w:rsid w:val="00C70C33"/>
    <w:rsid w:val="00C72718"/>
    <w:rsid w:val="00C748F9"/>
    <w:rsid w:val="00C752A0"/>
    <w:rsid w:val="00C8001B"/>
    <w:rsid w:val="00C83657"/>
    <w:rsid w:val="00C842D9"/>
    <w:rsid w:val="00C922FA"/>
    <w:rsid w:val="00C93127"/>
    <w:rsid w:val="00C94C6E"/>
    <w:rsid w:val="00C96A94"/>
    <w:rsid w:val="00CA02DA"/>
    <w:rsid w:val="00CA16D2"/>
    <w:rsid w:val="00CB01E6"/>
    <w:rsid w:val="00CB43A7"/>
    <w:rsid w:val="00CC550A"/>
    <w:rsid w:val="00CD1615"/>
    <w:rsid w:val="00CD2509"/>
    <w:rsid w:val="00CD5D50"/>
    <w:rsid w:val="00CE304B"/>
    <w:rsid w:val="00D1266D"/>
    <w:rsid w:val="00D136CD"/>
    <w:rsid w:val="00D15419"/>
    <w:rsid w:val="00D20A88"/>
    <w:rsid w:val="00D25285"/>
    <w:rsid w:val="00D2549E"/>
    <w:rsid w:val="00D27566"/>
    <w:rsid w:val="00D319CC"/>
    <w:rsid w:val="00D5198B"/>
    <w:rsid w:val="00D67C06"/>
    <w:rsid w:val="00D73525"/>
    <w:rsid w:val="00D77856"/>
    <w:rsid w:val="00D81E1E"/>
    <w:rsid w:val="00D868A7"/>
    <w:rsid w:val="00D928AC"/>
    <w:rsid w:val="00D959A7"/>
    <w:rsid w:val="00DA76AE"/>
    <w:rsid w:val="00DB1344"/>
    <w:rsid w:val="00DD1144"/>
    <w:rsid w:val="00DF50E6"/>
    <w:rsid w:val="00E00A96"/>
    <w:rsid w:val="00E16733"/>
    <w:rsid w:val="00E210CA"/>
    <w:rsid w:val="00E24576"/>
    <w:rsid w:val="00E26F0C"/>
    <w:rsid w:val="00E27500"/>
    <w:rsid w:val="00E31868"/>
    <w:rsid w:val="00E3273E"/>
    <w:rsid w:val="00E35FEE"/>
    <w:rsid w:val="00E44A82"/>
    <w:rsid w:val="00E62709"/>
    <w:rsid w:val="00E66EF8"/>
    <w:rsid w:val="00E72137"/>
    <w:rsid w:val="00E818B4"/>
    <w:rsid w:val="00E94A2C"/>
    <w:rsid w:val="00EA0C16"/>
    <w:rsid w:val="00EA584A"/>
    <w:rsid w:val="00EA63DD"/>
    <w:rsid w:val="00EB0D07"/>
    <w:rsid w:val="00EB3390"/>
    <w:rsid w:val="00EB7005"/>
    <w:rsid w:val="00EC22EA"/>
    <w:rsid w:val="00EC4A9D"/>
    <w:rsid w:val="00ED0CDA"/>
    <w:rsid w:val="00EF3D1B"/>
    <w:rsid w:val="00F0447B"/>
    <w:rsid w:val="00F06302"/>
    <w:rsid w:val="00F10DA8"/>
    <w:rsid w:val="00F1305F"/>
    <w:rsid w:val="00F25714"/>
    <w:rsid w:val="00F362FA"/>
    <w:rsid w:val="00F40624"/>
    <w:rsid w:val="00F451EC"/>
    <w:rsid w:val="00F51E67"/>
    <w:rsid w:val="00F575D4"/>
    <w:rsid w:val="00F64113"/>
    <w:rsid w:val="00F64F8E"/>
    <w:rsid w:val="00F654B5"/>
    <w:rsid w:val="00F7083B"/>
    <w:rsid w:val="00F7771B"/>
    <w:rsid w:val="00F819FA"/>
    <w:rsid w:val="00F83085"/>
    <w:rsid w:val="00F84B4A"/>
    <w:rsid w:val="00F85545"/>
    <w:rsid w:val="00F90884"/>
    <w:rsid w:val="00FA1FD7"/>
    <w:rsid w:val="00FA3508"/>
    <w:rsid w:val="00FB164C"/>
    <w:rsid w:val="00FB3C81"/>
    <w:rsid w:val="00FC3F9E"/>
    <w:rsid w:val="00FD03C6"/>
    <w:rsid w:val="00FD2B2A"/>
    <w:rsid w:val="00FE181A"/>
    <w:rsid w:val="00FE192B"/>
    <w:rsid w:val="00FE3D1D"/>
    <w:rsid w:val="00FE5F0F"/>
    <w:rsid w:val="00FE64EB"/>
    <w:rsid w:val="00FF564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846F3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6F38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846F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02DA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64F8E"/>
    <w:rPr>
      <w:i/>
      <w:iCs/>
    </w:rPr>
  </w:style>
  <w:style w:type="character" w:customStyle="1" w:styleId="bumpedfont15">
    <w:name w:val="bumpedfont15"/>
    <w:basedOn w:val="Domylnaczcionkaakapitu"/>
    <w:rsid w:val="0087560A"/>
  </w:style>
  <w:style w:type="character" w:styleId="Hipercze">
    <w:name w:val="Hyperlink"/>
    <w:basedOn w:val="Domylnaczcionkaakapitu"/>
    <w:unhideWhenUsed/>
    <w:rsid w:val="001D402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40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2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9E0D98FA0D94DBA1B57C40D7DB94C" ma:contentTypeVersion="10" ma:contentTypeDescription="Utwórz nowy dokument." ma:contentTypeScope="" ma:versionID="91f5253236918abb6ea6f52b8577e7b2">
  <xsd:schema xmlns:xsd="http://www.w3.org/2001/XMLSchema" xmlns:xs="http://www.w3.org/2001/XMLSchema" xmlns:p="http://schemas.microsoft.com/office/2006/metadata/properties" xmlns:ns2="7c5db0b1-3828-435a-9ba4-5dda87b4ca67" xmlns:ns3="0cdec167-1d25-4a68-8ec4-68651eb3d961" targetNamespace="http://schemas.microsoft.com/office/2006/metadata/properties" ma:root="true" ma:fieldsID="62b5f52e462ce1a4476326fd58fe5eeb" ns2:_="" ns3:_="">
    <xsd:import namespace="7c5db0b1-3828-435a-9ba4-5dda87b4ca67"/>
    <xsd:import namespace="0cdec167-1d25-4a68-8ec4-68651eb3d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b0b1-3828-435a-9ba4-5dda87b4c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c167-1d25-4a68-8ec4-68651eb3d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FAFC-362F-4179-B0D7-46968F4E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b0b1-3828-435a-9ba4-5dda87b4ca67"/>
    <ds:schemaRef ds:uri="0cdec167-1d25-4a68-8ec4-68651eb3d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8E4B26-3361-4A7A-AF62-1F69517C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7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Purzycka,Joanna,WARSZAWA,Marketing &amp; CCSD</cp:lastModifiedBy>
  <cp:revision>8</cp:revision>
  <cp:lastPrinted>2014-02-11T15:10:00Z</cp:lastPrinted>
  <dcterms:created xsi:type="dcterms:W3CDTF">2019-11-19T14:53:00Z</dcterms:created>
  <dcterms:modified xsi:type="dcterms:W3CDTF">2019-11-25T14:06:00Z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0x010100EAB9E0D98FA0D94DBA1B57C40D7DB94C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Roman.Kaliski@PL.nestle.com</vt:lpwstr>
  </property>
  <property fmtid="{D5CDD505-2E9C-101B-9397-08002B2CF9AE}" pid="7" name="MSIP_Label_1ada0a2f-b917-4d51-b0d0-d418a10c8b23_SetDate">
    <vt:lpwstr>2019-05-28T08:49:14.9914384Z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Extended_MSFT_Method">
    <vt:lpwstr>Automatic</vt:lpwstr>
  </property>
  <property fmtid="{D5CDD505-2E9C-101B-9397-08002B2CF9AE}" pid="11" name="Sensitivity">
    <vt:lpwstr>General Use</vt:lpwstr>
  </property>
</Properties>
</file>