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5B387B" w:rsidRDefault="00DD19F9" w:rsidP="00846869">
      <w:pPr>
        <w:pStyle w:val="PRtitle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3A19C5A3" w14:textId="5ECB185C" w:rsidR="00E84FFA" w:rsidRPr="005B387B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>,</w:t>
      </w:r>
      <w:r w:rsidR="00605D7C">
        <w:rPr>
          <w:rFonts w:ascii="Arial" w:hAnsi="Arial" w:cs="Arial"/>
          <w:lang w:val="pl-PL"/>
        </w:rPr>
        <w:t xml:space="preserve"> </w:t>
      </w:r>
      <w:r w:rsidR="000E33BC">
        <w:rPr>
          <w:rFonts w:ascii="Arial" w:hAnsi="Arial" w:cs="Arial"/>
          <w:lang w:val="pl-PL"/>
        </w:rPr>
        <w:t>12</w:t>
      </w:r>
      <w:r w:rsidR="00BD1049">
        <w:rPr>
          <w:rFonts w:ascii="Arial" w:hAnsi="Arial" w:cs="Arial"/>
          <w:lang w:val="pl-PL"/>
        </w:rPr>
        <w:t xml:space="preserve"> października</w:t>
      </w:r>
      <w:r w:rsidR="00B5508D" w:rsidRPr="005B387B">
        <w:rPr>
          <w:rFonts w:ascii="Arial" w:hAnsi="Arial" w:cs="Arial"/>
          <w:lang w:val="pl-PL"/>
        </w:rPr>
        <w:t xml:space="preserve"> </w:t>
      </w:r>
      <w:r w:rsidRPr="005B387B">
        <w:rPr>
          <w:rFonts w:ascii="Arial" w:hAnsi="Arial" w:cs="Arial"/>
          <w:lang w:val="pl-PL"/>
        </w:rPr>
        <w:t>2020</w:t>
      </w:r>
      <w:r w:rsidR="00ED2D9D" w:rsidRPr="005B387B">
        <w:rPr>
          <w:rFonts w:ascii="Arial" w:hAnsi="Arial" w:cs="Arial"/>
          <w:lang w:val="pl-PL"/>
        </w:rPr>
        <w:tab/>
      </w:r>
    </w:p>
    <w:p w14:paraId="497489D0" w14:textId="12E017A5" w:rsidR="00E94E73" w:rsidRDefault="00990CD7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  <w:r w:rsidRPr="00990CD7">
        <w:rPr>
          <w:rFonts w:ascii="Arial" w:hAnsi="Arial" w:cs="Arial"/>
          <w:b/>
          <w:sz w:val="32"/>
          <w:lang w:val="pl-PL"/>
        </w:rPr>
        <w:t>„Siła pragnienia” i 7 minerałów w nowej kampanii Nałęczowianki</w:t>
      </w:r>
    </w:p>
    <w:p w14:paraId="39F7D0BC" w14:textId="77777777" w:rsidR="00990CD7" w:rsidRPr="00324782" w:rsidRDefault="00990CD7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Cs w:val="22"/>
          <w:lang w:val="pl-PL"/>
        </w:rPr>
      </w:pPr>
    </w:p>
    <w:p w14:paraId="0F968042" w14:textId="0DF169DA" w:rsidR="00E94E73" w:rsidRPr="00990CD7" w:rsidRDefault="00990CD7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sz w:val="24"/>
          <w:szCs w:val="22"/>
          <w:lang w:val="pl-PL"/>
        </w:rPr>
      </w:pPr>
      <w:r w:rsidRPr="00990CD7">
        <w:rPr>
          <w:rFonts w:ascii="Arial" w:hAnsi="Arial" w:cs="Arial"/>
          <w:sz w:val="24"/>
          <w:szCs w:val="22"/>
          <w:lang w:val="pl-PL"/>
        </w:rPr>
        <w:t xml:space="preserve">Nałęczowianka, marka naturalnej wody mineralnej, rusza z nową kampanią promującą swój skład mineralny. Kampania, która kontynuuje pozycjonowanie oparte </w:t>
      </w:r>
      <w:r w:rsidR="00806BF0">
        <w:rPr>
          <w:rFonts w:ascii="Arial" w:hAnsi="Arial" w:cs="Arial"/>
          <w:sz w:val="24"/>
          <w:szCs w:val="22"/>
          <w:lang w:val="pl-PL"/>
        </w:rPr>
        <w:t>na wewnętrznym pragnieniu</w:t>
      </w:r>
      <w:r w:rsidRPr="00990CD7">
        <w:rPr>
          <w:rFonts w:ascii="Arial" w:hAnsi="Arial" w:cs="Arial"/>
          <w:sz w:val="24"/>
          <w:szCs w:val="22"/>
          <w:lang w:val="pl-PL"/>
        </w:rPr>
        <w:t>, wprowadzone przez markę w ubiegłym roku, rusza w październiku i obejmuje działania w głównych stacjach TV, Internecie oraz prasie.</w:t>
      </w:r>
    </w:p>
    <w:p w14:paraId="3DEBCD91" w14:textId="77777777" w:rsidR="00990CD7" w:rsidRPr="00990CD7" w:rsidRDefault="00990CD7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bookmarkEnd w:id="0"/>
    <w:p w14:paraId="5B474BAD" w14:textId="043D2085" w:rsidR="00990CD7" w:rsidRPr="00990CD7" w:rsidRDefault="00990CD7" w:rsidP="0073386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E33BC">
        <w:rPr>
          <w:rFonts w:ascii="Arial" w:hAnsi="Arial" w:cs="Arial"/>
          <w:i/>
          <w:iCs/>
          <w:sz w:val="22"/>
          <w:szCs w:val="22"/>
          <w:lang w:val="pl-PL"/>
        </w:rPr>
        <w:t>„Pragnienie to moc. Sprawia, że wytrwale dążymy do celu. Tak, jak Nałęczowianka”</w:t>
      </w:r>
      <w:r w:rsidRPr="00990CD7">
        <w:rPr>
          <w:rFonts w:ascii="Arial" w:hAnsi="Arial" w:cs="Arial"/>
          <w:sz w:val="22"/>
          <w:szCs w:val="22"/>
          <w:lang w:val="pl-PL"/>
        </w:rPr>
        <w:t xml:space="preserve"> – tymi słowami zaczyna się spot promujący nową kampanię marki, a </w:t>
      </w:r>
      <w:bookmarkStart w:id="1" w:name="_Hlk53409746"/>
      <w:r w:rsidRPr="00990CD7">
        <w:rPr>
          <w:rFonts w:ascii="Arial" w:hAnsi="Arial" w:cs="Arial"/>
          <w:sz w:val="22"/>
          <w:szCs w:val="22"/>
          <w:lang w:val="pl-PL"/>
        </w:rPr>
        <w:t xml:space="preserve">zrealizowany </w:t>
      </w:r>
      <w:r w:rsidR="00806BF0">
        <w:rPr>
          <w:rFonts w:ascii="Arial" w:hAnsi="Arial" w:cs="Arial"/>
          <w:sz w:val="22"/>
          <w:szCs w:val="22"/>
          <w:lang w:val="pl-PL"/>
        </w:rPr>
        <w:t>w okolicach jej źródła</w:t>
      </w:r>
      <w:r w:rsidRPr="00990CD7">
        <w:rPr>
          <w:rFonts w:ascii="Arial" w:hAnsi="Arial" w:cs="Arial"/>
          <w:sz w:val="22"/>
          <w:szCs w:val="22"/>
          <w:lang w:val="pl-PL"/>
        </w:rPr>
        <w:t xml:space="preserve"> w Nałęczowie</w:t>
      </w:r>
      <w:bookmarkEnd w:id="1"/>
      <w:r w:rsidRPr="00990CD7">
        <w:rPr>
          <w:rFonts w:ascii="Arial" w:hAnsi="Arial" w:cs="Arial"/>
          <w:sz w:val="22"/>
          <w:szCs w:val="22"/>
          <w:lang w:val="pl-PL"/>
        </w:rPr>
        <w:t>. To właśnie tam woda nasyca się kompozycją siedmiu składników mineralnych które stały się motywem przewodnim obecnych działań komunikacyjnych. Skład mineralny Nałęczowianki sprawia, że można ją pić codziennie – podkreśla producent.</w:t>
      </w:r>
    </w:p>
    <w:p w14:paraId="05307DD3" w14:textId="77777777" w:rsidR="00990CD7" w:rsidRPr="00990CD7" w:rsidRDefault="00990CD7" w:rsidP="00990CD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92F03E3" w14:textId="5FE678BF" w:rsidR="00990CD7" w:rsidRPr="00990CD7" w:rsidRDefault="000E33BC" w:rsidP="00990CD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990CD7" w:rsidRPr="00990CD7">
        <w:rPr>
          <w:rFonts w:ascii="Arial" w:hAnsi="Arial" w:cs="Arial"/>
          <w:i/>
          <w:sz w:val="22"/>
          <w:szCs w:val="22"/>
          <w:lang w:val="pl-PL"/>
        </w:rPr>
        <w:t xml:space="preserve">Nasza nowa kampania nadal skupia się na </w:t>
      </w:r>
      <w:r w:rsidR="00806BF0">
        <w:rPr>
          <w:rFonts w:ascii="Arial" w:hAnsi="Arial" w:cs="Arial"/>
          <w:i/>
          <w:sz w:val="22"/>
          <w:szCs w:val="22"/>
          <w:lang w:val="pl-PL"/>
        </w:rPr>
        <w:t xml:space="preserve">wewnętrznym pragnieniu, tym razem – na jego </w:t>
      </w:r>
      <w:r w:rsidR="00990CD7" w:rsidRPr="00990CD7">
        <w:rPr>
          <w:rFonts w:ascii="Arial" w:hAnsi="Arial" w:cs="Arial"/>
          <w:i/>
          <w:sz w:val="22"/>
          <w:szCs w:val="22"/>
          <w:lang w:val="pl-PL"/>
        </w:rPr>
        <w:t xml:space="preserve">sile. Podkreślamy w niej, że dostarczając </w:t>
      </w:r>
      <w:r w:rsidR="003F2E30">
        <w:rPr>
          <w:rFonts w:ascii="Arial" w:hAnsi="Arial" w:cs="Arial"/>
          <w:i/>
          <w:sz w:val="22"/>
          <w:szCs w:val="22"/>
          <w:lang w:val="pl-PL"/>
        </w:rPr>
        <w:t>organizmowi</w:t>
      </w:r>
      <w:r w:rsidR="00806BF0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90CD7" w:rsidRPr="00990CD7">
        <w:rPr>
          <w:rFonts w:ascii="Arial" w:hAnsi="Arial" w:cs="Arial"/>
          <w:i/>
          <w:sz w:val="22"/>
          <w:szCs w:val="22"/>
          <w:lang w:val="pl-PL"/>
        </w:rPr>
        <w:t>odpowiedniej ilości wody</w:t>
      </w:r>
      <w:r w:rsidR="00806BF0">
        <w:rPr>
          <w:rFonts w:ascii="Arial" w:hAnsi="Arial" w:cs="Arial"/>
          <w:i/>
          <w:sz w:val="22"/>
          <w:szCs w:val="22"/>
          <w:lang w:val="pl-PL"/>
        </w:rPr>
        <w:t>,</w:t>
      </w:r>
      <w:r w:rsidR="00990CD7" w:rsidRPr="00990CD7">
        <w:rPr>
          <w:rFonts w:ascii="Arial" w:hAnsi="Arial" w:cs="Arial"/>
          <w:i/>
          <w:sz w:val="22"/>
          <w:szCs w:val="22"/>
          <w:lang w:val="pl-PL"/>
        </w:rPr>
        <w:t xml:space="preserve"> dbamy </w:t>
      </w:r>
      <w:r w:rsidR="003F2E30">
        <w:rPr>
          <w:rFonts w:ascii="Arial" w:hAnsi="Arial" w:cs="Arial"/>
          <w:i/>
          <w:sz w:val="22"/>
          <w:szCs w:val="22"/>
          <w:lang w:val="pl-PL"/>
        </w:rPr>
        <w:t>o jego poprawne funkcjonowani</w:t>
      </w:r>
      <w:r w:rsidR="00806BF0">
        <w:rPr>
          <w:rFonts w:ascii="Arial" w:hAnsi="Arial" w:cs="Arial"/>
          <w:i/>
          <w:sz w:val="22"/>
          <w:szCs w:val="22"/>
          <w:lang w:val="pl-PL"/>
        </w:rPr>
        <w:t>e. D</w:t>
      </w:r>
      <w:r w:rsidR="003F2E30">
        <w:rPr>
          <w:rFonts w:ascii="Arial" w:hAnsi="Arial" w:cs="Arial"/>
          <w:i/>
          <w:sz w:val="22"/>
          <w:szCs w:val="22"/>
          <w:lang w:val="pl-PL"/>
        </w:rPr>
        <w:t xml:space="preserve">zięki temu </w:t>
      </w:r>
      <w:r w:rsidR="00990CD7" w:rsidRPr="00990CD7">
        <w:rPr>
          <w:rFonts w:ascii="Arial" w:hAnsi="Arial" w:cs="Arial"/>
          <w:i/>
          <w:sz w:val="22"/>
          <w:szCs w:val="22"/>
          <w:lang w:val="pl-PL"/>
        </w:rPr>
        <w:t xml:space="preserve"> łatwiej jest realizować marzenia, dążyć do celu, podejmować wysiłek i cieszyć się życiem. Pora komunikacji jest tu nie bez znaczenia. W Nałęczowiance pamiętamy i przypominamy, żeby o nawodnienie i dobre samopoczucie dbać przez cały rok – nie tylko w upalne, ale też chłodniejsze dni, również jesienią. Jeśli chcemy podsycać i realizować nasze życiowe pragnienia, to warto najpierw zaspokoić to pragnienie w podstawowym, fizjologicznym znaczeniu</w:t>
      </w:r>
      <w:r>
        <w:rPr>
          <w:rFonts w:ascii="Arial" w:hAnsi="Arial" w:cs="Arial"/>
          <w:i/>
          <w:sz w:val="22"/>
          <w:szCs w:val="22"/>
          <w:lang w:val="pl-PL"/>
        </w:rPr>
        <w:t>”</w:t>
      </w:r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 – mówi Katarzyna Sternowska, 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brand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 manager Nałęczowianki. </w:t>
      </w:r>
    </w:p>
    <w:p w14:paraId="31060EE9" w14:textId="77777777" w:rsidR="00990CD7" w:rsidRPr="00990CD7" w:rsidRDefault="00990CD7" w:rsidP="00990CD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BB505B6" w14:textId="36398323" w:rsidR="00990CD7" w:rsidRDefault="00382192" w:rsidP="00BC69E9">
      <w:pPr>
        <w:jc w:val="both"/>
        <w:rPr>
          <w:rFonts w:ascii="Arial" w:hAnsi="Arial" w:cs="Arial"/>
          <w:sz w:val="22"/>
          <w:szCs w:val="22"/>
          <w:lang w:val="pl-PL"/>
        </w:rPr>
      </w:pPr>
      <w:hyperlink r:id="rId11" w:history="1">
        <w:r w:rsidR="00990CD7" w:rsidRPr="00990CD7">
          <w:rPr>
            <w:rStyle w:val="Hipercze"/>
            <w:rFonts w:ascii="Arial" w:hAnsi="Arial" w:cs="Arial"/>
            <w:sz w:val="22"/>
            <w:szCs w:val="22"/>
            <w:lang w:val="pl-PL"/>
          </w:rPr>
          <w:t>Spot</w:t>
        </w:r>
      </w:hyperlink>
      <w:r w:rsidR="00990CD7" w:rsidRPr="00990CD7">
        <w:rPr>
          <w:rStyle w:val="Hipercze"/>
          <w:rFonts w:ascii="Arial" w:hAnsi="Arial" w:cs="Arial"/>
          <w:sz w:val="22"/>
          <w:szCs w:val="22"/>
          <w:lang w:val="pl-PL"/>
        </w:rPr>
        <w:t xml:space="preserve"> </w:t>
      </w:r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w kreatywny sposób </w:t>
      </w:r>
      <w:r>
        <w:rPr>
          <w:rFonts w:ascii="Arial" w:hAnsi="Arial" w:cs="Arial"/>
          <w:sz w:val="22"/>
          <w:szCs w:val="22"/>
          <w:lang w:val="pl-PL"/>
        </w:rPr>
        <w:t>pokazuje</w:t>
      </w:r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 drogę </w:t>
      </w:r>
      <w:r w:rsidR="003F2E30">
        <w:rPr>
          <w:rFonts w:ascii="Arial" w:hAnsi="Arial" w:cs="Arial"/>
          <w:sz w:val="22"/>
          <w:szCs w:val="22"/>
          <w:lang w:val="pl-PL"/>
        </w:rPr>
        <w:t xml:space="preserve">Nałęczowianki, </w:t>
      </w:r>
      <w:r w:rsidR="00A56895">
        <w:rPr>
          <w:rFonts w:ascii="Arial" w:hAnsi="Arial" w:cs="Arial"/>
          <w:sz w:val="22"/>
          <w:szCs w:val="22"/>
          <w:lang w:val="pl-PL"/>
        </w:rPr>
        <w:t>która podróż</w:t>
      </w:r>
      <w:r w:rsidR="000E33BC">
        <w:rPr>
          <w:rFonts w:ascii="Arial" w:hAnsi="Arial" w:cs="Arial"/>
          <w:sz w:val="22"/>
          <w:szCs w:val="22"/>
          <w:lang w:val="pl-PL"/>
        </w:rPr>
        <w:t>uje</w:t>
      </w:r>
      <w:r w:rsidR="00A56895">
        <w:rPr>
          <w:rFonts w:ascii="Arial" w:hAnsi="Arial" w:cs="Arial"/>
          <w:sz w:val="22"/>
          <w:szCs w:val="22"/>
          <w:lang w:val="pl-PL"/>
        </w:rPr>
        <w:t xml:space="preserve"> przez pokłady skał </w:t>
      </w:r>
      <w:r w:rsidR="000E33BC">
        <w:rPr>
          <w:rFonts w:ascii="Arial" w:hAnsi="Arial" w:cs="Arial"/>
          <w:sz w:val="22"/>
          <w:szCs w:val="22"/>
          <w:lang w:val="pl-PL"/>
        </w:rPr>
        <w:t xml:space="preserve">i </w:t>
      </w:r>
      <w:bookmarkStart w:id="2" w:name="_GoBack"/>
      <w:bookmarkEnd w:id="2"/>
      <w:r w:rsidR="00A56895">
        <w:rPr>
          <w:rFonts w:ascii="Arial" w:hAnsi="Arial" w:cs="Arial"/>
          <w:sz w:val="22"/>
          <w:szCs w:val="22"/>
          <w:lang w:val="pl-PL"/>
        </w:rPr>
        <w:t xml:space="preserve">nabiera swoich właściwości poprzez nasycanie się składnikami mineralnymi, by móc je następnie przekazać konsumentom, którzy również pragną się rozwijać każdego dnia. Spot można </w:t>
      </w:r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zobaczyć w telewizji, w popularnych serwisach 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streamingowych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 (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Ipla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, TVN Player), w serwisie YouTube oraz na zasięgowych portalach ogólnoinformacyjnych (WP, Interia, Onet). Wyreżyserował go Antek 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Nykowski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, za produkcję odpowiadała 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Papaya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Films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, natomiast 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postprodukcją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 zajął się </w:t>
      </w:r>
      <w:proofErr w:type="spellStart"/>
      <w:r w:rsidR="00990CD7" w:rsidRPr="00990CD7">
        <w:rPr>
          <w:rFonts w:ascii="Arial" w:hAnsi="Arial" w:cs="Arial"/>
          <w:sz w:val="22"/>
          <w:szCs w:val="22"/>
          <w:lang w:val="pl-PL"/>
        </w:rPr>
        <w:t>Chimney</w:t>
      </w:r>
      <w:proofErr w:type="spellEnd"/>
      <w:r w:rsidR="00990CD7" w:rsidRPr="00990CD7">
        <w:rPr>
          <w:rFonts w:ascii="Arial" w:hAnsi="Arial" w:cs="Arial"/>
          <w:sz w:val="22"/>
          <w:szCs w:val="22"/>
          <w:lang w:val="pl-PL"/>
        </w:rPr>
        <w:t xml:space="preserve"> Pot. Marką opiekuje się kompleksowo agencja Przestrzeń.</w:t>
      </w:r>
    </w:p>
    <w:p w14:paraId="432DF5A6" w14:textId="77777777" w:rsidR="00990CD7" w:rsidRPr="00990CD7" w:rsidRDefault="00990CD7" w:rsidP="00990CD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572172E" w14:textId="6A5A9B2F" w:rsidR="00E94E73" w:rsidRPr="00990CD7" w:rsidRDefault="00990CD7" w:rsidP="004306A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90CD7">
        <w:rPr>
          <w:rFonts w:ascii="Arial" w:hAnsi="Arial" w:cs="Arial"/>
          <w:sz w:val="22"/>
          <w:szCs w:val="22"/>
          <w:lang w:val="pl-PL"/>
        </w:rPr>
        <w:t xml:space="preserve">Kampania obejmuje również komunikację w mediach społecznościowych, w tym na kanałach własnych marki, a także działania w prasie. Dodatkowo towarzyszy jej loteria </w:t>
      </w:r>
      <w:r w:rsidR="00990D28">
        <w:rPr>
          <w:rFonts w:ascii="Arial" w:hAnsi="Arial" w:cs="Arial"/>
          <w:sz w:val="22"/>
          <w:szCs w:val="22"/>
          <w:lang w:val="pl-PL"/>
        </w:rPr>
        <w:t>z nagrodami przyjaznymi środowisk</w:t>
      </w:r>
      <w:r w:rsidR="00F65793">
        <w:rPr>
          <w:rFonts w:ascii="Arial" w:hAnsi="Arial" w:cs="Arial"/>
          <w:sz w:val="22"/>
          <w:szCs w:val="22"/>
          <w:lang w:val="pl-PL"/>
        </w:rPr>
        <w:t xml:space="preserve">u do </w:t>
      </w:r>
      <w:r w:rsidR="00BC69E9">
        <w:rPr>
          <w:rFonts w:ascii="Arial" w:hAnsi="Arial" w:cs="Arial"/>
          <w:sz w:val="22"/>
          <w:szCs w:val="22"/>
          <w:lang w:val="pl-PL"/>
        </w:rPr>
        <w:t>zdobycia.</w:t>
      </w:r>
    </w:p>
    <w:p w14:paraId="4EB87096" w14:textId="77777777" w:rsidR="00B62C02" w:rsidRPr="00990CD7" w:rsidRDefault="00B62C02" w:rsidP="00B62C02">
      <w:pPr>
        <w:rPr>
          <w:b/>
          <w:bCs/>
          <w:sz w:val="22"/>
          <w:szCs w:val="22"/>
          <w:lang w:val="pl-PL" w:bidi="pl-PL"/>
        </w:rPr>
      </w:pPr>
    </w:p>
    <w:p w14:paraId="04A637D2" w14:textId="3E284CE2" w:rsidR="003A578E" w:rsidRPr="00990CD7" w:rsidRDefault="00990CD7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bCs/>
          <w:sz w:val="22"/>
          <w:szCs w:val="22"/>
          <w:lang w:val="pl-PL" w:bidi="pl-PL"/>
        </w:rPr>
        <w:br w:type="column"/>
      </w:r>
      <w:r w:rsidR="008A0B1F" w:rsidRPr="00990CD7">
        <w:rPr>
          <w:rFonts w:ascii="Arial" w:hAnsi="Arial" w:cs="Arial"/>
          <w:b/>
          <w:bCs/>
          <w:sz w:val="22"/>
          <w:szCs w:val="22"/>
          <w:lang w:val="pl-PL" w:bidi="pl-PL"/>
        </w:rPr>
        <w:lastRenderedPageBreak/>
        <w:t>O Nestlé</w:t>
      </w:r>
    </w:p>
    <w:p w14:paraId="45E11B03" w14:textId="77777777" w:rsidR="00B579B8" w:rsidRPr="00990CD7" w:rsidRDefault="00B579B8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Pr="00990CD7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24935950" w14:textId="77777777" w:rsidR="00B62C02" w:rsidRPr="00990CD7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71AB166E" w14:textId="0996CED1" w:rsidR="00B62C02" w:rsidRPr="00990CD7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sz w:val="22"/>
          <w:szCs w:val="22"/>
          <w:lang w:val="pl-PL" w:bidi="pl-PL"/>
        </w:rPr>
        <w:t>O Nestlé Waters</w:t>
      </w:r>
      <w:r w:rsidR="00F65793">
        <w:rPr>
          <w:rFonts w:ascii="Arial" w:hAnsi="Arial" w:cs="Arial"/>
          <w:b/>
          <w:sz w:val="22"/>
          <w:szCs w:val="22"/>
          <w:lang w:val="pl-PL" w:bidi="pl-PL"/>
        </w:rPr>
        <w:t xml:space="preserve"> na świecie</w:t>
      </w:r>
    </w:p>
    <w:p w14:paraId="1EAC2C19" w14:textId="77777777" w:rsidR="00B579B8" w:rsidRPr="00990CD7" w:rsidRDefault="00B579B8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43D61785" w14:textId="4D1FDFFE" w:rsidR="00B62C02" w:rsidRPr="00990CD7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 xml:space="preserve">portfolio Nestlé Waters znajduje się 48 unikatowych marek (od naturalnych wód mineralnych po wody stołowe), włączając w to markę Nestlé Pure Life, wodę Acqua Panna, wody gazowane </w:t>
      </w:r>
      <w:proofErr w:type="spellStart"/>
      <w:r w:rsidRPr="00990CD7">
        <w:rPr>
          <w:rFonts w:ascii="Arial" w:hAnsi="Arial" w:cs="Arial"/>
          <w:sz w:val="22"/>
          <w:szCs w:val="22"/>
          <w:lang w:val="pl-PL" w:bidi="pl-PL"/>
        </w:rPr>
        <w:t>Perrier</w:t>
      </w:r>
      <w:proofErr w:type="spellEnd"/>
      <w:r w:rsidRPr="00990CD7">
        <w:rPr>
          <w:rFonts w:ascii="Arial" w:hAnsi="Arial" w:cs="Arial"/>
          <w:sz w:val="22"/>
          <w:szCs w:val="22"/>
          <w:lang w:val="pl-PL" w:bidi="pl-PL"/>
        </w:rPr>
        <w:t xml:space="preserve"> i S.Pellegrino oraz rozlewaną w Polsce Nałęczowiankę. Poprzez te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85C115D" w14:textId="77777777" w:rsidR="007E36FF" w:rsidRPr="00990CD7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990CD7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990CD7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990CD7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990CD7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990CD7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990CD7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990CD7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990CD7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33FE4A1F" w:rsidR="00DD19F9" w:rsidRPr="00990CD7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990CD7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67ADDCD4" w:rsidR="00DD19F9" w:rsidRPr="00990CD7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990CD7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990CD7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57200280" w:rsidR="00DD19F9" w:rsidRPr="00990CD7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990CD7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990CD7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630675CF" w14:textId="77777777" w:rsidR="00E84FFA" w:rsidRPr="00990CD7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990CD7" w:rsidSect="000C548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EDE46" w14:textId="77777777" w:rsidR="00766545" w:rsidRDefault="00766545" w:rsidP="00E84FFA">
      <w:r>
        <w:separator/>
      </w:r>
    </w:p>
  </w:endnote>
  <w:endnote w:type="continuationSeparator" w:id="0">
    <w:p w14:paraId="33013814" w14:textId="77777777" w:rsidR="00766545" w:rsidRDefault="00766545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39279810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382192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382192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364AEA4A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382192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382192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DFB4" w14:textId="77777777" w:rsidR="00766545" w:rsidRDefault="00766545" w:rsidP="00E84FFA">
      <w:r>
        <w:separator/>
      </w:r>
    </w:p>
  </w:footnote>
  <w:footnote w:type="continuationSeparator" w:id="0">
    <w:p w14:paraId="7AAF142A" w14:textId="77777777" w:rsidR="00766545" w:rsidRDefault="00766545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0EE3"/>
    <w:rsid w:val="00004D12"/>
    <w:rsid w:val="000053D5"/>
    <w:rsid w:val="00031161"/>
    <w:rsid w:val="00061C65"/>
    <w:rsid w:val="000C548F"/>
    <w:rsid w:val="000E33BC"/>
    <w:rsid w:val="000E41C1"/>
    <w:rsid w:val="000F0A7A"/>
    <w:rsid w:val="000F607C"/>
    <w:rsid w:val="00144788"/>
    <w:rsid w:val="00177831"/>
    <w:rsid w:val="001C0ACA"/>
    <w:rsid w:val="001F020E"/>
    <w:rsid w:val="00200955"/>
    <w:rsid w:val="00216379"/>
    <w:rsid w:val="002836C1"/>
    <w:rsid w:val="00285C47"/>
    <w:rsid w:val="00291C2B"/>
    <w:rsid w:val="002A1C6B"/>
    <w:rsid w:val="002B5AA7"/>
    <w:rsid w:val="002C1353"/>
    <w:rsid w:val="002D2247"/>
    <w:rsid w:val="002F0C67"/>
    <w:rsid w:val="00324782"/>
    <w:rsid w:val="00353D2A"/>
    <w:rsid w:val="00364257"/>
    <w:rsid w:val="00382192"/>
    <w:rsid w:val="00382616"/>
    <w:rsid w:val="003A578E"/>
    <w:rsid w:val="003D1BB4"/>
    <w:rsid w:val="003F2E30"/>
    <w:rsid w:val="004138C5"/>
    <w:rsid w:val="004306A2"/>
    <w:rsid w:val="004719E4"/>
    <w:rsid w:val="004779F2"/>
    <w:rsid w:val="00495408"/>
    <w:rsid w:val="004B3213"/>
    <w:rsid w:val="004B34CB"/>
    <w:rsid w:val="004E7CED"/>
    <w:rsid w:val="0050572D"/>
    <w:rsid w:val="00540014"/>
    <w:rsid w:val="005471F9"/>
    <w:rsid w:val="005746A6"/>
    <w:rsid w:val="005A18DD"/>
    <w:rsid w:val="005A61F5"/>
    <w:rsid w:val="005B387B"/>
    <w:rsid w:val="0060573F"/>
    <w:rsid w:val="00605D7C"/>
    <w:rsid w:val="00635F74"/>
    <w:rsid w:val="0064678F"/>
    <w:rsid w:val="006520EF"/>
    <w:rsid w:val="00684D5B"/>
    <w:rsid w:val="006917B9"/>
    <w:rsid w:val="00733860"/>
    <w:rsid w:val="00766545"/>
    <w:rsid w:val="007B2044"/>
    <w:rsid w:val="007B7464"/>
    <w:rsid w:val="007E36FF"/>
    <w:rsid w:val="007F086B"/>
    <w:rsid w:val="00803027"/>
    <w:rsid w:val="00805F51"/>
    <w:rsid w:val="00806BF0"/>
    <w:rsid w:val="00846869"/>
    <w:rsid w:val="00857D42"/>
    <w:rsid w:val="008664D0"/>
    <w:rsid w:val="008821C8"/>
    <w:rsid w:val="008A0B1F"/>
    <w:rsid w:val="008A0F03"/>
    <w:rsid w:val="00905D26"/>
    <w:rsid w:val="00930BA4"/>
    <w:rsid w:val="0095070D"/>
    <w:rsid w:val="00986C74"/>
    <w:rsid w:val="00990CD7"/>
    <w:rsid w:val="00990D28"/>
    <w:rsid w:val="009E1D1C"/>
    <w:rsid w:val="00A56895"/>
    <w:rsid w:val="00AA02B6"/>
    <w:rsid w:val="00AE7315"/>
    <w:rsid w:val="00B16CE8"/>
    <w:rsid w:val="00B331DD"/>
    <w:rsid w:val="00B547CB"/>
    <w:rsid w:val="00B5508D"/>
    <w:rsid w:val="00B579B8"/>
    <w:rsid w:val="00B62C02"/>
    <w:rsid w:val="00B668F4"/>
    <w:rsid w:val="00B94868"/>
    <w:rsid w:val="00BC69E9"/>
    <w:rsid w:val="00BD1049"/>
    <w:rsid w:val="00BD418F"/>
    <w:rsid w:val="00C00335"/>
    <w:rsid w:val="00C3194C"/>
    <w:rsid w:val="00C57715"/>
    <w:rsid w:val="00CC47B2"/>
    <w:rsid w:val="00CE1B03"/>
    <w:rsid w:val="00D63547"/>
    <w:rsid w:val="00D80EE3"/>
    <w:rsid w:val="00D90D48"/>
    <w:rsid w:val="00DD19F9"/>
    <w:rsid w:val="00E0387F"/>
    <w:rsid w:val="00E25601"/>
    <w:rsid w:val="00E44884"/>
    <w:rsid w:val="00E46374"/>
    <w:rsid w:val="00E84FFA"/>
    <w:rsid w:val="00E9048D"/>
    <w:rsid w:val="00E90D15"/>
    <w:rsid w:val="00E94E73"/>
    <w:rsid w:val="00ED2D9D"/>
    <w:rsid w:val="00ED6FA2"/>
    <w:rsid w:val="00F41F8C"/>
    <w:rsid w:val="00F5436C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425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Pogrubienie">
    <w:name w:val="Strong"/>
    <w:basedOn w:val="Domylnaczcionkaakapitu"/>
    <w:uiPriority w:val="22"/>
    <w:qFormat/>
    <w:rsid w:val="00B550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os4Td_ROY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ECEF522CAF345B1EA4057CEC8BA62" ma:contentTypeVersion="13" ma:contentTypeDescription="Create a new document." ma:contentTypeScope="" ma:versionID="0474ec4f6915f182ec8034925988f41d">
  <xsd:schema xmlns:xsd="http://www.w3.org/2001/XMLSchema" xmlns:xs="http://www.w3.org/2001/XMLSchema" xmlns:p="http://schemas.microsoft.com/office/2006/metadata/properties" xmlns:ns3="868d1ddf-8334-415f-aba9-5c3a11548b5b" xmlns:ns4="883d18bf-45d4-4020-ba2e-ca462d9f73e3" targetNamespace="http://schemas.microsoft.com/office/2006/metadata/properties" ma:root="true" ma:fieldsID="8eeb43f660db08e9bd2c195a2553d6d2" ns3:_="" ns4:_="">
    <xsd:import namespace="868d1ddf-8334-415f-aba9-5c3a11548b5b"/>
    <xsd:import namespace="883d18bf-45d4-4020-ba2e-ca462d9f7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1ddf-8334-415f-aba9-5c3a1154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18bf-45d4-4020-ba2e-ca462d9f7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BFFE1-0824-4F66-918D-AB3546D66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1ddf-8334-415f-aba9-5c3a11548b5b"/>
    <ds:schemaRef ds:uri="883d18bf-45d4-4020-ba2e-ca462d9f7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478D6-B5B3-48FD-A578-A6682435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Purzycka,Joanna,WARSZAWA,Marketing &amp; CCSD</cp:lastModifiedBy>
  <cp:revision>4</cp:revision>
  <dcterms:created xsi:type="dcterms:W3CDTF">2020-10-12T11:28:00Z</dcterms:created>
  <dcterms:modified xsi:type="dcterms:W3CDTF">2020-10-12T13:44:00Z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0x01010007FECEF522CAF345B1EA4057CEC8BA62</vt:lpwstr>
  </property>
</Properties>
</file>