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1E2C2A" w:rsidRDefault="00DD19F9" w:rsidP="00846869">
      <w:pPr>
        <w:pStyle w:val="PRtitle"/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Informacja prasowa</w:t>
      </w:r>
    </w:p>
    <w:p w14:paraId="3A19C5A3" w14:textId="5DFF2565" w:rsidR="00E84FFA" w:rsidRPr="001E2C2A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Warszawa</w:t>
      </w:r>
      <w:r w:rsidR="00EA5608" w:rsidRPr="001E2C2A">
        <w:rPr>
          <w:rFonts w:ascii="Arial" w:hAnsi="Arial" w:cs="Arial"/>
          <w:lang w:val="pl-PL"/>
        </w:rPr>
        <w:t xml:space="preserve">, </w:t>
      </w:r>
      <w:r w:rsidR="008A29A4">
        <w:rPr>
          <w:rFonts w:ascii="Arial" w:hAnsi="Arial" w:cs="Arial"/>
          <w:lang w:val="pl-PL"/>
        </w:rPr>
        <w:t>3</w:t>
      </w:r>
      <w:r w:rsidR="00EA5608" w:rsidRPr="001E2C2A">
        <w:rPr>
          <w:rFonts w:ascii="Arial" w:hAnsi="Arial" w:cs="Arial"/>
          <w:lang w:val="pl-PL"/>
        </w:rPr>
        <w:t xml:space="preserve"> </w:t>
      </w:r>
      <w:r w:rsidR="008A29A4">
        <w:rPr>
          <w:rFonts w:ascii="Arial" w:hAnsi="Arial" w:cs="Arial"/>
          <w:lang w:val="pl-PL"/>
        </w:rPr>
        <w:t>grudnia</w:t>
      </w:r>
      <w:r w:rsidR="00F34F44" w:rsidRPr="001E2C2A">
        <w:rPr>
          <w:rFonts w:ascii="Arial" w:hAnsi="Arial" w:cs="Arial"/>
          <w:lang w:val="pl-PL"/>
        </w:rPr>
        <w:t xml:space="preserve"> </w:t>
      </w:r>
      <w:r w:rsidRPr="001E2C2A">
        <w:rPr>
          <w:rFonts w:ascii="Arial" w:hAnsi="Arial" w:cs="Arial"/>
          <w:lang w:val="pl-PL"/>
        </w:rPr>
        <w:t>2020</w:t>
      </w:r>
      <w:r w:rsidR="00ED2D9D" w:rsidRPr="001E2C2A">
        <w:rPr>
          <w:rFonts w:ascii="Arial" w:hAnsi="Arial" w:cs="Arial"/>
          <w:lang w:val="pl-PL"/>
        </w:rPr>
        <w:tab/>
      </w:r>
    </w:p>
    <w:p w14:paraId="6420363B" w14:textId="6820F2F1" w:rsidR="008A29A4" w:rsidRDefault="008A29A4" w:rsidP="008A29A4">
      <w:pPr>
        <w:pStyle w:val="NormalWeb"/>
        <w:shd w:val="clear" w:color="auto" w:fill="FFFFFF"/>
        <w:spacing w:after="0" w:afterAutospacing="0"/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</w:pPr>
      <w:bookmarkStart w:id="0" w:name="_Hlk50990832"/>
      <w:r w:rsidRPr="008A29A4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Nestlé wzmacnia wysiłki w walce ze zmianami klimat</w:t>
      </w:r>
      <w:r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u</w:t>
      </w:r>
    </w:p>
    <w:p w14:paraId="692555E3" w14:textId="1F3A0276" w:rsidR="008A29A4" w:rsidRPr="008A29A4" w:rsidRDefault="008A29A4" w:rsidP="008A29A4">
      <w:pPr>
        <w:pStyle w:val="NormalWeb"/>
        <w:shd w:val="clear" w:color="auto" w:fill="FFFFFF"/>
        <w:spacing w:before="0" w:beforeAutospacing="0"/>
        <w:jc w:val="both"/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</w:pPr>
      <w:r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  <w:t xml:space="preserve">Firma </w:t>
      </w:r>
      <w:r w:rsidRPr="008A29A4"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  <w:t>koncentruj</w:t>
      </w:r>
      <w:r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  <w:t>e</w:t>
      </w:r>
      <w:r w:rsidRPr="008A29A4"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  <w:t xml:space="preserve"> się na rolnictwie regeneracyjnym i przechodz</w:t>
      </w:r>
      <w:r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  <w:t>i</w:t>
      </w:r>
      <w:r w:rsidRPr="008A29A4"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  <w:t xml:space="preserve"> na energię odnawialną</w:t>
      </w:r>
      <w:r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  <w:t>.</w:t>
      </w:r>
    </w:p>
    <w:p w14:paraId="5F11BC11" w14:textId="423F64BA" w:rsidR="008A29A4" w:rsidRPr="008A29A4" w:rsidRDefault="00311EE9" w:rsidP="008A29A4">
      <w:pPr>
        <w:pStyle w:val="Normal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Nestlé jako jeden z pierwszych spośród sygnatariuszy deklaracji </w:t>
      </w:r>
      <w:r w:rsidRPr="00AE4BE0">
        <w:rPr>
          <w:rFonts w:ascii="Nestle Text TF Book" w:eastAsiaTheme="minorEastAsia" w:hAnsi="Nestle Text TF Book" w:cstheme="minorHAnsi"/>
          <w:i/>
          <w:iCs/>
          <w:sz w:val="22"/>
          <w:szCs w:val="22"/>
          <w:lang w:eastAsia="en-US" w:bidi="ar-SA"/>
        </w:rPr>
        <w:t>Business Ambition for 1.5°C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8A29A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przedstawia szczegółowy plan działania w ramach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tego</w:t>
      </w:r>
      <w:r w:rsidR="008A29A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zobowiązania. Firma podejmuje kroki, które do 2030 roku pozwolą </w:t>
      </w:r>
      <w:r w:rsidR="00C363E2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jej </w:t>
      </w:r>
      <w:r w:rsidR="008A29A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ograniczyć emisję CO</w:t>
      </w:r>
      <w:r w:rsidR="008A29A4" w:rsidRPr="00AE4BE0">
        <w:rPr>
          <w:rFonts w:ascii="Nestle Text TF Book" w:eastAsiaTheme="minorEastAsia" w:hAnsi="Nestle Text TF Book" w:cstheme="minorHAnsi"/>
          <w:sz w:val="22"/>
          <w:szCs w:val="22"/>
          <w:vertAlign w:val="subscript"/>
          <w:lang w:eastAsia="en-US" w:bidi="ar-SA"/>
        </w:rPr>
        <w:t>2</w:t>
      </w:r>
      <w:r w:rsidR="008A29A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o połowę i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8A29A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osiągnąć zerową emisję netto do 2050 roku – nawet w przypadku </w:t>
      </w:r>
      <w:r w:rsidR="00C363E2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istotnego </w:t>
      </w:r>
      <w:r w:rsidR="008A29A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rozwoju firmy.</w:t>
      </w:r>
      <w:r w:rsidR="008A29A4"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</w:p>
    <w:p w14:paraId="4668D335" w14:textId="71F80F0F" w:rsidR="008A29A4" w:rsidRPr="008A29A4" w:rsidRDefault="008A29A4" w:rsidP="008A29A4">
      <w:pPr>
        <w:pStyle w:val="Normal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Głównymi obszarami działań będą: wsparcie rolników i dostawców w zakresie rolnictwa regeneracyjnego,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za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sadzenie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setek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milionów drzew na przestrzeni najbliższych 10 lat oraz przejści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e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firmy na odnawialną energię elektryczną do 2025 roku. Nestlé stale zwiększa także liczbę </w:t>
      </w:r>
      <w:r w:rsidR="00BE59C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tzw. 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marek neutralnych pod względem emisji dwutlenku węgla. </w:t>
      </w:r>
    </w:p>
    <w:p w14:paraId="3E7B7BD6" w14:textId="393280EE" w:rsidR="008A29A4" w:rsidRPr="008A29A4" w:rsidRDefault="008A29A4" w:rsidP="008A29A4">
      <w:pPr>
        <w:pStyle w:val="Normal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Paul Bulcke, Prezes Zarządu Nestlé podkreślił: „Podjęcie zdecydowanych kroków w celu przeciwdziałania zmianom klimatu jest bardzo ważnym elementem strategii 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arządu. 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Dzięki nim przyspieszamy i skalujemy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rozwiązania, 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które pozwolą zapewnić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firmie 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sukces w perspektywie długoterminowej, a jednocześnie przyczyni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ą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się do budowania zrównoważonej przyszłości dla kolejnych pokoleń”. </w:t>
      </w:r>
    </w:p>
    <w:p w14:paraId="224A8395" w14:textId="5758F27E" w:rsidR="008A29A4" w:rsidRPr="008A29A4" w:rsidRDefault="008A29A4" w:rsidP="008A29A4">
      <w:pPr>
        <w:pStyle w:val="Normal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Zaprezentowana mapa drogowa to wynik kompleksowej analizy 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funkcjonowania firmy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przeprowadzonej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, by zrozumieć skalę wyzwania i zdefiniować kroki niezbędne, by na nie odpowiedzieć. W 2018 roku firma wyemitowała 92 mln ton gazów cieplarnianych – dana ta posłuży za punkt odniesienia do pomiaru postępów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w kolejnych latach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</w:t>
      </w:r>
    </w:p>
    <w:p w14:paraId="1FA69F82" w14:textId="77777777" w:rsidR="008A29A4" w:rsidRPr="008A29A4" w:rsidRDefault="008A29A4" w:rsidP="008A29A4">
      <w:pPr>
        <w:pStyle w:val="Normal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„Walka ze zmianami klimatu nie może czekać. My także nie możemy. To kluczowe dla sukcesu firmy w perspektywie długoterminowej – komentuje Mark Schneider, CEO Nestlé. „Dzięki skali naszej działalności – poprzez obecność w niemal każdym kraju, nasz zasięg i wielkość – mamy wyjątkową możliwość, by coś zmienić. Będziemy współpracować z rolnikami, partnerami branżowymi, rządami, organizacjami pozarządowymi i konsumentami, aby zminimalizować nasz wpływ na środowisko”.</w:t>
      </w:r>
    </w:p>
    <w:p w14:paraId="5641F06D" w14:textId="77777777" w:rsidR="008A29A4" w:rsidRPr="008A29A4" w:rsidRDefault="008A29A4" w:rsidP="008A29A4">
      <w:pPr>
        <w:pStyle w:val="Normal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Działania Nestlé mające na celu ograniczenie emisji skupiają się na trzech obszarach: </w:t>
      </w:r>
    </w:p>
    <w:p w14:paraId="3AB17A43" w14:textId="5466B280" w:rsidR="008A29A4" w:rsidRPr="008A29A4" w:rsidRDefault="008A29A4" w:rsidP="008A29A4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Firma współpracuje już z ponad 500 000 rolników i 150 000 dostawców, wspierając ich we wdrażaniu regeneracyjnych praktyk rolniczych.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Praktyki te poprawiają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stan gleby, utrzymują i przywracają różnorodność ekosystemów. W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zamian Nestlé kupuje takie towary po wyższej cenie i w większych ilościach, współuczestniczy także w niezbędnych wydatkach. Do 2030 roku firma spodziewa się pozyskać ponad 14 milionów ton składników z rolnictwa regeneracyjnego,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istotnie 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zwiększając popyt na takie towary.</w:t>
      </w:r>
    </w:p>
    <w:p w14:paraId="45AC2F10" w14:textId="02DAC2AD" w:rsidR="008A29A4" w:rsidRPr="008A29A4" w:rsidRDefault="008A29A4" w:rsidP="008A29A4">
      <w:pPr>
        <w:pStyle w:val="NormalWeb"/>
        <w:shd w:val="clear" w:color="auto" w:fill="FFFFFF"/>
        <w:ind w:left="708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lastRenderedPageBreak/>
        <w:t>Nestlé rozszerza również swój program ponownego zalesiania. Na przestrzeni najbliższych 10 lat firma będzie sadzić 20 milionów drzew rocznie na obszarach, z których pozyskuje składniki. Więcej drzew oznacza więcej cienia dla upraw, więcej węgla usuwanego z atmosfery, wyższe plony oraz lepszą różnorodność biologiczną i zdrowie gleby. Do 2022 roku łańcuchy dostaw kluczowych towarów firmy, takich jak olej palmowy i soja, będą wolne od wylesiania. Dzięki t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ym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działaniom firma buduje także długoterminowe partnerstwa i zapewnia społecznościom rolniczym większą stabilność i wyższe dochody.</w:t>
      </w:r>
    </w:p>
    <w:p w14:paraId="62310105" w14:textId="1D6B2916" w:rsidR="008A29A4" w:rsidRPr="008A29A4" w:rsidRDefault="008A29A4" w:rsidP="008A29A4">
      <w:pPr>
        <w:pStyle w:val="NormalWeb"/>
        <w:numPr>
          <w:ilvl w:val="0"/>
          <w:numId w:val="6"/>
        </w:numPr>
        <w:shd w:val="clear" w:color="auto" w:fill="FFFFFF"/>
        <w:spacing w:after="240" w:afterAutospacing="0"/>
        <w:ind w:left="714" w:hanging="357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Jeśli chodzi o działania operacyjne Nestlé, w ciągu najbliższych pięciu lat firma spodziewa się zakończenia transformacji 800 lokalizacji w 187 krajach tak, aby korzystały one w 100% z odnawialnej energii elektrycznej. Firma przestawia także globalną flotę pojazdów na opcje niskoemisyjne; do 2022 r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oku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ograniczy również i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zrównoważy podróże służbowe. Nestlé wdraża </w:t>
      </w:r>
      <w:r w:rsidR="00BE59C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też 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środki ochrony i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regeneracji wody oraz przeciwdziała marnowaniu żywności.</w:t>
      </w:r>
    </w:p>
    <w:p w14:paraId="143BC162" w14:textId="16833C1B" w:rsidR="008A29A4" w:rsidRPr="008A29A4" w:rsidRDefault="008A29A4" w:rsidP="008A29A4">
      <w:pPr>
        <w:pStyle w:val="NormalWeb"/>
        <w:numPr>
          <w:ilvl w:val="0"/>
          <w:numId w:val="6"/>
        </w:numPr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 ramach swojego portfolio produktów</w:t>
      </w:r>
      <w:r w:rsidR="00BE59C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,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Nestlé stale poszerza ofertę żywności i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napojów na bazie roślin oraz zmienia formuły, by były one bardziej przyjazne dla środowiska. Firma zwiększa liczbę </w:t>
      </w:r>
      <w:r w:rsidR="00BE59C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tzw. 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marek neutralnych pod względem emisji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CO</w:t>
      </w:r>
      <w:r w:rsidRPr="008A29A4">
        <w:rPr>
          <w:rFonts w:ascii="Nestle Text TF Book" w:eastAsiaTheme="minorEastAsia" w:hAnsi="Nestle Text TF Book" w:cstheme="minorHAnsi"/>
          <w:sz w:val="22"/>
          <w:szCs w:val="22"/>
          <w:vertAlign w:val="subscript"/>
          <w:lang w:eastAsia="en-US" w:bidi="ar-SA"/>
        </w:rPr>
        <w:t>2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aby dać konsumentom możliwość wkładu w walkę ze zmianami klimatycznymi. Żywność roślinna Garden Gourmet oraz suplementy Garden of Life osiągną neutralność węglową do 2022 roku; inne marki,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wśród nich m.in.</w:t>
      </w:r>
      <w:r w:rsidR="00E23F35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produkty roślinne Sweet Earth</w:t>
      </w:r>
      <w:r w:rsidR="00BE59C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,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zrobią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to samo do 2025 roku.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Marki te u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zupełnią zobowiązania Nespresso, S.Pellegrino, Perrier i Acqua Panna do neutralności węglowej do 2022 roku, którą reszta kategorii Nestlé Waters osiągnie do 2025 roku.</w:t>
      </w:r>
    </w:p>
    <w:p w14:paraId="53767762" w14:textId="2B175D83" w:rsidR="008A29A4" w:rsidRDefault="008A29A4" w:rsidP="008A29A4">
      <w:pPr>
        <w:pStyle w:val="Normal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Magdi Batato, Wiceprezes Nestlé, Dyrektor ds. Operacji komentuje: „Ponieważ prawie dwie trzecie naszych emisji pochodzi z rolnictwa, jasne jest, że to rolnictwo regeneracyjne oraz ponowne zalesianie są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kluczowymi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punktami naszej drogi do neutralności węglowej. Działania te pozwolą nam zredukować emisje, ale także na znaczną skalę pomogą osiągnąć różnorodność biologiczną. Nadal będziemy ograniczać emisje z naszych procesów i udoskonalać portfolio produktów. To nasz obszar odpowiedzialności i jesteśmy zobowiązani, by mu sprostać”. </w:t>
      </w:r>
    </w:p>
    <w:p w14:paraId="3A6B3B4A" w14:textId="1507C174" w:rsidR="008A29A4" w:rsidRDefault="008A29A4" w:rsidP="008A29A4">
      <w:pPr>
        <w:pStyle w:val="Normal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Dążenie do </w:t>
      </w:r>
      <w:r w:rsidR="00DD20F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zerowej emisji obejmuje także działania i procesy w Polsce. Już dziś wszystkie lokalne fabryki korzystają z odnawialnej energii elektrycznej. </w:t>
      </w:r>
      <w:r w:rsidR="00215385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 lokalizacjach Nestlé realizowany</w:t>
      </w:r>
      <w:r w:rsidR="00DD20F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jest projekt fabryki neutralnej węglowo, w ramach którego udoskonalane są systemy grzewcze, aby zmniejszyć utratę ciepła lub </w:t>
      </w:r>
      <w:r w:rsidR="00215385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umożliwić jego ponowne</w:t>
      </w:r>
      <w:r w:rsidR="00DD20F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215385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wykorzystanie</w:t>
      </w:r>
      <w:bookmarkStart w:id="1" w:name="_GoBack"/>
      <w:bookmarkEnd w:id="1"/>
      <w:r w:rsidR="00DD20F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 W ramach programu optymalizowane są także sposoby składowania towarów na paletach, by maksymalnie wykorzystać przestrzeń i zredukować tym samym liczbę transportów. W Polsce trwa także dalsza wymiana floty na samochody hybrydowe – do końca roku te niskoemisyjne będą stanowić już 53% całej floty.</w:t>
      </w:r>
      <w:r w:rsidR="00DD20F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</w:p>
    <w:p w14:paraId="13830558" w14:textId="10C09C3B" w:rsidR="00097B2F" w:rsidRPr="00BD7A6D" w:rsidRDefault="00BD7A6D" w:rsidP="008A29A4">
      <w:pPr>
        <w:pStyle w:val="Normal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lastRenderedPageBreak/>
        <w:t>W ciągu najbliższych pięciu lat f</w:t>
      </w:r>
      <w:r w:rsidR="00097B2F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irma przewiduje inwestycje 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o łącznej wartości 3,2 mld CHF, które przyspieszą realizację zobowiązań</w:t>
      </w:r>
      <w:r w:rsidR="00311EE9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311EE9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 tej kwoty 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1,2 mld CHF </w:t>
      </w:r>
      <w:r w:rsidR="00311EE9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przeznaczone będzie 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na wsparcie rolnictwa regeneracyjnego w łańcuchu dostaw</w:t>
      </w:r>
      <w:r w:rsidR="00311EE9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firmy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</w:t>
      </w:r>
    </w:p>
    <w:p w14:paraId="2E3B8528" w14:textId="5072E996" w:rsidR="002E49CB" w:rsidRPr="001E2C2A" w:rsidRDefault="008A29A4" w:rsidP="008A29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Cele Nestlé w zakresie neutralności węglowej zostały zatwierdzone przez inicjatywę Science Based Targets (SBTi) jako zgodne z poziomami wymaganymi do osiągnięcia celów Porozumienia </w:t>
      </w:r>
      <w:r w:rsidR="0028234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aryskiego. SBTi to gremium organizacji non-profit, których wytyczne uznawane są za międzynarodowy złoty standard w kwestiach zeroemisyjności. Nestlé będzie dostarczać coroczne aktualizacje postępów, aby zapewnić przejrzystość skuteczności realizowanych działań.</w:t>
      </w:r>
    </w:p>
    <w:bookmarkEnd w:id="0"/>
    <w:p w14:paraId="2AACE4AA" w14:textId="53176352" w:rsidR="00EA528A" w:rsidRPr="001E2C2A" w:rsidRDefault="00EA528A" w:rsidP="007572F4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190B79E6" w14:textId="77777777" w:rsidR="00B944A6" w:rsidRPr="001E2C2A" w:rsidRDefault="00B944A6" w:rsidP="00B944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1E2C2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O Nestlé</w:t>
      </w:r>
    </w:p>
    <w:p w14:paraId="68503A7A" w14:textId="0F71C1D3" w:rsidR="00B944A6" w:rsidRPr="001E2C2A" w:rsidRDefault="00B944A6" w:rsidP="00B944A6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1E2C2A">
        <w:rPr>
          <w:rFonts w:ascii="Nestle Text TF Book" w:hAnsi="Nestle Text TF Book" w:cstheme="minorHAnsi"/>
          <w:sz w:val="22"/>
          <w:szCs w:val="22"/>
          <w:lang w:val="pl-PL"/>
        </w:rPr>
        <w:t xml:space="preserve">Nestlé w Polsce jest wiodącą firmą w obszarze żywienia, zdrowia i dobrego samopoczucia z portfolio blisko 1600 produktów i prawie 70 marek, w tym m.in.: NESCAFĒ, WINIARY, GERBER, PRINCESSA, KIT KAT, LION, NESQUIK, NAŁĘCZOWIANKA oraz PURINA. Nestlé działa na polskim rynku od </w:t>
      </w:r>
      <w:r w:rsidR="00C240CC" w:rsidRPr="001E2C2A">
        <w:rPr>
          <w:rFonts w:ascii="Nestle Text TF Book" w:hAnsi="Nestle Text TF Book" w:cstheme="minorHAnsi"/>
          <w:sz w:val="22"/>
          <w:szCs w:val="22"/>
          <w:lang w:val="pl-PL"/>
        </w:rPr>
        <w:t>1993 roku</w:t>
      </w:r>
      <w:r w:rsidRPr="001E2C2A">
        <w:rPr>
          <w:rFonts w:ascii="Nestle Text TF Book" w:hAnsi="Nestle Text TF Book" w:cstheme="minorHAnsi"/>
          <w:sz w:val="22"/>
          <w:szCs w:val="22"/>
          <w:lang w:val="pl-PL"/>
        </w:rPr>
        <w:t>. Firma zatrudnia aktualnie 5500 pracowników w 8 lokalizacjach.</w:t>
      </w:r>
    </w:p>
    <w:p w14:paraId="472AEE62" w14:textId="77777777" w:rsidR="0010475E" w:rsidRPr="001E2C2A" w:rsidRDefault="0010475E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leGrid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7E36FF" w:rsidRPr="001E2C2A" w14:paraId="664D54D7" w14:textId="77777777" w:rsidTr="00457189">
        <w:trPr>
          <w:trHeight w:hRule="exact" w:val="797"/>
        </w:trPr>
        <w:tc>
          <w:tcPr>
            <w:tcW w:w="1161" w:type="dxa"/>
            <w:vAlign w:val="bottom"/>
          </w:tcPr>
          <w:p w14:paraId="2F12FC9F" w14:textId="77777777" w:rsidR="007E36FF" w:rsidRPr="001E2C2A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Kontakt</w:t>
            </w:r>
            <w:r w:rsidR="007E36FF" w:rsidRPr="001E2C2A">
              <w:rPr>
                <w:rFonts w:cstheme="minorHAnsi"/>
                <w:szCs w:val="22"/>
                <w:lang w:val="pl-PL"/>
              </w:rPr>
              <w:t>:</w:t>
            </w:r>
          </w:p>
        </w:tc>
        <w:tc>
          <w:tcPr>
            <w:tcW w:w="2033" w:type="dxa"/>
            <w:gridSpan w:val="2"/>
            <w:vAlign w:val="bottom"/>
          </w:tcPr>
          <w:p w14:paraId="06721F74" w14:textId="77777777" w:rsidR="007E36FF" w:rsidRPr="001E2C2A" w:rsidRDefault="007E36FF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632D67C0" w14:textId="77777777" w:rsidR="007E36FF" w:rsidRPr="001E2C2A" w:rsidRDefault="007E36FF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5FF21CF2" w14:textId="77777777" w:rsidR="007E36FF" w:rsidRPr="001E2C2A" w:rsidRDefault="007E36FF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19F9" w:rsidRPr="001E2C2A" w14:paraId="43B6AEE0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FBCAFA5" w14:textId="77777777" w:rsidR="00DD19F9" w:rsidRPr="001E2C2A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Edyta Iroko</w:t>
            </w:r>
          </w:p>
        </w:tc>
        <w:tc>
          <w:tcPr>
            <w:tcW w:w="2613" w:type="dxa"/>
            <w:gridSpan w:val="2"/>
            <w:vAlign w:val="bottom"/>
          </w:tcPr>
          <w:p w14:paraId="44AB2A3A" w14:textId="77777777" w:rsidR="00DD19F9" w:rsidRPr="001E2C2A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757FD260" w14:textId="706B89F6" w:rsidR="007B0EFA" w:rsidRPr="001E2C2A" w:rsidRDefault="005D2A24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1" w:history="1">
              <w:r w:rsidR="00DD19F9" w:rsidRPr="001E2C2A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edyta.iroko@pl.nestle.com</w:t>
              </w:r>
            </w:hyperlink>
            <w:r w:rsidR="00DD19F9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7B0EFA" w:rsidRPr="001E2C2A" w14:paraId="0AB124C9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42BAFC98" w14:textId="77777777" w:rsidR="007B0EFA" w:rsidRPr="001E2C2A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Joanna Szpatowicz</w:t>
            </w:r>
          </w:p>
        </w:tc>
        <w:tc>
          <w:tcPr>
            <w:tcW w:w="2613" w:type="dxa"/>
            <w:gridSpan w:val="2"/>
            <w:vAlign w:val="bottom"/>
          </w:tcPr>
          <w:p w14:paraId="1A791B27" w14:textId="77777777" w:rsidR="007B0EFA" w:rsidRPr="001E2C2A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33136908" w14:textId="0AD1E30D" w:rsidR="007B0EFA" w:rsidRPr="001E2C2A" w:rsidRDefault="005D2A24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2" w:history="1">
              <w:r w:rsidR="0028234B" w:rsidRPr="00D519CC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457189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B0EFA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630675CF" w14:textId="77777777" w:rsidR="00E84FFA" w:rsidRPr="001E2C2A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1E2C2A" w:rsidSect="009564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851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A7B4" w14:textId="77777777" w:rsidR="005D2A24" w:rsidRDefault="005D2A24" w:rsidP="00E84FFA">
      <w:r>
        <w:separator/>
      </w:r>
    </w:p>
  </w:endnote>
  <w:endnote w:type="continuationSeparator" w:id="0">
    <w:p w14:paraId="609D3D54" w14:textId="77777777" w:rsidR="005D2A24" w:rsidRDefault="005D2A24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8064F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C1EA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78D2C244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r w:rsidR="005D2A24">
      <w:fldChar w:fldCharType="begin"/>
    </w:r>
    <w:r w:rsidR="005D2A24">
      <w:instrText xml:space="preserve"> NUMPAGES   \* MERGEFORMAT </w:instrText>
    </w:r>
    <w:r w:rsidR="005D2A24">
      <w:fldChar w:fldCharType="separate"/>
    </w:r>
    <w:r w:rsidR="00023B16">
      <w:rPr>
        <w:noProof/>
      </w:rPr>
      <w:t>2</w:t>
    </w:r>
    <w:r w:rsidR="005D2A2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46A4" w14:textId="77777777" w:rsidR="00023B16" w:rsidRDefault="00023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B5695" w14:textId="77777777" w:rsidR="005D2A24" w:rsidRDefault="005D2A24" w:rsidP="00E84FFA">
      <w:r>
        <w:separator/>
      </w:r>
    </w:p>
  </w:footnote>
  <w:footnote w:type="continuationSeparator" w:id="0">
    <w:p w14:paraId="5607FBFC" w14:textId="77777777" w:rsidR="005D2A24" w:rsidRDefault="005D2A24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389D" w14:textId="77777777" w:rsidR="00023B16" w:rsidRDefault="00023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F0A1" w14:textId="77777777" w:rsidR="00023B16" w:rsidRDefault="00023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6A10"/>
    <w:multiLevelType w:val="hybridMultilevel"/>
    <w:tmpl w:val="4C56C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87ED2"/>
    <w:multiLevelType w:val="hybridMultilevel"/>
    <w:tmpl w:val="84A88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23B16"/>
    <w:rsid w:val="000313E3"/>
    <w:rsid w:val="0004374F"/>
    <w:rsid w:val="00061C65"/>
    <w:rsid w:val="000756FC"/>
    <w:rsid w:val="00080F1D"/>
    <w:rsid w:val="000846E5"/>
    <w:rsid w:val="0009637A"/>
    <w:rsid w:val="00097B2F"/>
    <w:rsid w:val="000B7C8B"/>
    <w:rsid w:val="000C548F"/>
    <w:rsid w:val="000F0A7A"/>
    <w:rsid w:val="000F607C"/>
    <w:rsid w:val="0010475E"/>
    <w:rsid w:val="001204B2"/>
    <w:rsid w:val="00186801"/>
    <w:rsid w:val="001D1540"/>
    <w:rsid w:val="001E2C2A"/>
    <w:rsid w:val="00215385"/>
    <w:rsid w:val="00216379"/>
    <w:rsid w:val="00246071"/>
    <w:rsid w:val="00256CAA"/>
    <w:rsid w:val="00256E8B"/>
    <w:rsid w:val="0028234B"/>
    <w:rsid w:val="002836C1"/>
    <w:rsid w:val="00285C47"/>
    <w:rsid w:val="00291653"/>
    <w:rsid w:val="00295459"/>
    <w:rsid w:val="002A0471"/>
    <w:rsid w:val="002B5AA7"/>
    <w:rsid w:val="002B629B"/>
    <w:rsid w:val="002C1353"/>
    <w:rsid w:val="002D2CA9"/>
    <w:rsid w:val="002E49CB"/>
    <w:rsid w:val="002F0C67"/>
    <w:rsid w:val="002F6E3A"/>
    <w:rsid w:val="00300BA7"/>
    <w:rsid w:val="00311EE9"/>
    <w:rsid w:val="00375306"/>
    <w:rsid w:val="00382616"/>
    <w:rsid w:val="003A578E"/>
    <w:rsid w:val="003C0C85"/>
    <w:rsid w:val="003C1341"/>
    <w:rsid w:val="003C155B"/>
    <w:rsid w:val="003C6669"/>
    <w:rsid w:val="003D1BB4"/>
    <w:rsid w:val="003D5AB4"/>
    <w:rsid w:val="003F0590"/>
    <w:rsid w:val="00400D24"/>
    <w:rsid w:val="0041468F"/>
    <w:rsid w:val="00456880"/>
    <w:rsid w:val="00457189"/>
    <w:rsid w:val="004719E4"/>
    <w:rsid w:val="00484D01"/>
    <w:rsid w:val="00495408"/>
    <w:rsid w:val="004B34CB"/>
    <w:rsid w:val="004E7CED"/>
    <w:rsid w:val="0050572D"/>
    <w:rsid w:val="00507EEB"/>
    <w:rsid w:val="00521714"/>
    <w:rsid w:val="005471F9"/>
    <w:rsid w:val="00555CB1"/>
    <w:rsid w:val="005746A6"/>
    <w:rsid w:val="00592D36"/>
    <w:rsid w:val="005A18DD"/>
    <w:rsid w:val="005A61F5"/>
    <w:rsid w:val="005B2B65"/>
    <w:rsid w:val="005D2142"/>
    <w:rsid w:val="005D2A24"/>
    <w:rsid w:val="005F1841"/>
    <w:rsid w:val="0064678F"/>
    <w:rsid w:val="0065038D"/>
    <w:rsid w:val="006B0B84"/>
    <w:rsid w:val="006E5016"/>
    <w:rsid w:val="006F3332"/>
    <w:rsid w:val="00703892"/>
    <w:rsid w:val="00705DBF"/>
    <w:rsid w:val="007537AE"/>
    <w:rsid w:val="00754511"/>
    <w:rsid w:val="007572F4"/>
    <w:rsid w:val="007A34E0"/>
    <w:rsid w:val="007A4089"/>
    <w:rsid w:val="007B0EFA"/>
    <w:rsid w:val="007D3B00"/>
    <w:rsid w:val="007E36FF"/>
    <w:rsid w:val="007F086B"/>
    <w:rsid w:val="00802DFB"/>
    <w:rsid w:val="00805F51"/>
    <w:rsid w:val="00823A71"/>
    <w:rsid w:val="00836562"/>
    <w:rsid w:val="00846869"/>
    <w:rsid w:val="0086444F"/>
    <w:rsid w:val="00897D16"/>
    <w:rsid w:val="008A0B1F"/>
    <w:rsid w:val="008A1C7B"/>
    <w:rsid w:val="008A29A4"/>
    <w:rsid w:val="008A51B6"/>
    <w:rsid w:val="008E7F02"/>
    <w:rsid w:val="00903253"/>
    <w:rsid w:val="00905D26"/>
    <w:rsid w:val="00910011"/>
    <w:rsid w:val="00921527"/>
    <w:rsid w:val="00930BA4"/>
    <w:rsid w:val="00941D6B"/>
    <w:rsid w:val="00956489"/>
    <w:rsid w:val="0097598F"/>
    <w:rsid w:val="00986C74"/>
    <w:rsid w:val="00992189"/>
    <w:rsid w:val="009E1D1C"/>
    <w:rsid w:val="009E460D"/>
    <w:rsid w:val="009F47E2"/>
    <w:rsid w:val="00A15A1F"/>
    <w:rsid w:val="00A2048D"/>
    <w:rsid w:val="00A24340"/>
    <w:rsid w:val="00A80CD5"/>
    <w:rsid w:val="00A90E4F"/>
    <w:rsid w:val="00AA1D4F"/>
    <w:rsid w:val="00AC26E1"/>
    <w:rsid w:val="00AD1223"/>
    <w:rsid w:val="00AE4BE0"/>
    <w:rsid w:val="00AE7315"/>
    <w:rsid w:val="00B30C4D"/>
    <w:rsid w:val="00B471E4"/>
    <w:rsid w:val="00B612C9"/>
    <w:rsid w:val="00B668F4"/>
    <w:rsid w:val="00B944A6"/>
    <w:rsid w:val="00B94868"/>
    <w:rsid w:val="00BD7A6D"/>
    <w:rsid w:val="00BE59CB"/>
    <w:rsid w:val="00BE5B01"/>
    <w:rsid w:val="00BF31FB"/>
    <w:rsid w:val="00C00335"/>
    <w:rsid w:val="00C14F02"/>
    <w:rsid w:val="00C240CC"/>
    <w:rsid w:val="00C3194C"/>
    <w:rsid w:val="00C363E2"/>
    <w:rsid w:val="00C634EB"/>
    <w:rsid w:val="00C71586"/>
    <w:rsid w:val="00C7266B"/>
    <w:rsid w:val="00C76213"/>
    <w:rsid w:val="00CC2627"/>
    <w:rsid w:val="00CC47B2"/>
    <w:rsid w:val="00CC5A80"/>
    <w:rsid w:val="00CD0108"/>
    <w:rsid w:val="00CD4BA9"/>
    <w:rsid w:val="00CD6AA8"/>
    <w:rsid w:val="00CE1B03"/>
    <w:rsid w:val="00D20954"/>
    <w:rsid w:val="00D2100B"/>
    <w:rsid w:val="00D221FB"/>
    <w:rsid w:val="00D23917"/>
    <w:rsid w:val="00D3687A"/>
    <w:rsid w:val="00D4591A"/>
    <w:rsid w:val="00D47A74"/>
    <w:rsid w:val="00D54546"/>
    <w:rsid w:val="00DD19F9"/>
    <w:rsid w:val="00DD20F4"/>
    <w:rsid w:val="00E23162"/>
    <w:rsid w:val="00E23F35"/>
    <w:rsid w:val="00E429B0"/>
    <w:rsid w:val="00E44884"/>
    <w:rsid w:val="00E46374"/>
    <w:rsid w:val="00E84FFA"/>
    <w:rsid w:val="00E9048D"/>
    <w:rsid w:val="00E90D15"/>
    <w:rsid w:val="00E96B10"/>
    <w:rsid w:val="00E97CB0"/>
    <w:rsid w:val="00EA528A"/>
    <w:rsid w:val="00EA5608"/>
    <w:rsid w:val="00EB15EC"/>
    <w:rsid w:val="00ED0CF3"/>
    <w:rsid w:val="00ED2D9D"/>
    <w:rsid w:val="00ED6FA2"/>
    <w:rsid w:val="00EE7D84"/>
    <w:rsid w:val="00F2143C"/>
    <w:rsid w:val="00F27201"/>
    <w:rsid w:val="00F34F44"/>
    <w:rsid w:val="00F35FCD"/>
    <w:rsid w:val="00F612A0"/>
    <w:rsid w:val="00F665AA"/>
    <w:rsid w:val="00FB059A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21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8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38703-9F97-4D82-BDA8-12E85738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5827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4</cp:revision>
  <dcterms:created xsi:type="dcterms:W3CDTF">2020-12-03T11:06:00Z</dcterms:created>
  <dcterms:modified xsi:type="dcterms:W3CDTF">2020-12-04T09:20:00Z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