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9011CF" w:rsidRDefault="00DD19F9" w:rsidP="00846869">
      <w:pPr>
        <w:pStyle w:val="PRtitle"/>
        <w:rPr>
          <w:rFonts w:ascii="Arial" w:hAnsi="Arial" w:cs="Arial"/>
          <w:lang w:val="pl-PL"/>
        </w:rPr>
      </w:pPr>
      <w:bookmarkStart w:id="0" w:name="_GoBack"/>
      <w:bookmarkEnd w:id="0"/>
      <w:r w:rsidRPr="009011CF">
        <w:rPr>
          <w:rFonts w:ascii="Arial" w:hAnsi="Arial" w:cs="Arial"/>
          <w:lang w:val="pl-PL"/>
        </w:rPr>
        <w:t>Informacja prasowa</w:t>
      </w:r>
    </w:p>
    <w:p w14:paraId="3A19C5A3" w14:textId="34FB228D" w:rsidR="00E84FFA" w:rsidRPr="009011CF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B0109E">
        <w:rPr>
          <w:rFonts w:ascii="Arial" w:hAnsi="Arial" w:cs="Arial"/>
          <w:sz w:val="20"/>
          <w:szCs w:val="22"/>
          <w:lang w:val="pl-PL"/>
        </w:rPr>
        <w:t>Warszawa</w:t>
      </w:r>
      <w:r w:rsidR="00EA5608" w:rsidRPr="00B0109E">
        <w:rPr>
          <w:rFonts w:ascii="Arial" w:hAnsi="Arial" w:cs="Arial"/>
          <w:sz w:val="20"/>
          <w:szCs w:val="22"/>
          <w:lang w:val="pl-PL"/>
        </w:rPr>
        <w:t>,</w:t>
      </w:r>
      <w:r w:rsidR="00527AC1" w:rsidRPr="00B0109E">
        <w:rPr>
          <w:rFonts w:ascii="Arial" w:hAnsi="Arial" w:cs="Arial"/>
          <w:sz w:val="20"/>
          <w:szCs w:val="22"/>
          <w:lang w:val="pl-PL"/>
        </w:rPr>
        <w:t xml:space="preserve"> </w:t>
      </w:r>
      <w:r w:rsidR="00CA22E1">
        <w:rPr>
          <w:rFonts w:ascii="Arial" w:hAnsi="Arial" w:cs="Arial"/>
          <w:sz w:val="20"/>
          <w:szCs w:val="22"/>
          <w:lang w:val="pl-PL"/>
        </w:rPr>
        <w:t>22</w:t>
      </w:r>
      <w:r w:rsidR="00EB5D9C">
        <w:rPr>
          <w:rFonts w:ascii="Arial" w:hAnsi="Arial" w:cs="Arial"/>
          <w:sz w:val="20"/>
          <w:szCs w:val="22"/>
          <w:lang w:val="pl-PL"/>
        </w:rPr>
        <w:t xml:space="preserve"> stycznia 2021</w:t>
      </w:r>
      <w:r w:rsidR="00ED2D9D" w:rsidRPr="009011CF">
        <w:rPr>
          <w:rFonts w:ascii="Arial" w:hAnsi="Arial" w:cs="Arial"/>
          <w:lang w:val="pl-PL"/>
        </w:rPr>
        <w:tab/>
      </w:r>
    </w:p>
    <w:p w14:paraId="42A3BD9C" w14:textId="77777777" w:rsidR="00457189" w:rsidRPr="009011CF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1" w:name="_Hlk46851476"/>
    </w:p>
    <w:p w14:paraId="26B20613" w14:textId="4622EA64" w:rsidR="00527AC1" w:rsidRPr="00C55A67" w:rsidRDefault="000B377D" w:rsidP="000B70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/>
          <w:b/>
          <w:bCs/>
          <w:sz w:val="20"/>
          <w:szCs w:val="20"/>
        </w:rPr>
      </w:pPr>
      <w:r w:rsidRPr="000B377D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Nescafé</w:t>
      </w:r>
      <w:r w:rsidR="00652CC1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 xml:space="preserve"> działa</w:t>
      </w:r>
      <w:r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, by</w:t>
      </w:r>
      <w:r w:rsidRPr="000B377D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 xml:space="preserve"> popraw</w:t>
      </w:r>
      <w:r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iać</w:t>
      </w:r>
      <w:r w:rsidRPr="000B377D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 xml:space="preserve"> jakoś</w:t>
      </w:r>
      <w:r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ć</w:t>
      </w:r>
      <w:r w:rsidRPr="000B377D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 xml:space="preserve"> życia</w:t>
      </w:r>
    </w:p>
    <w:bookmarkEnd w:id="1"/>
    <w:p w14:paraId="7984D63F" w14:textId="005E07D5" w:rsidR="000B377D" w:rsidRPr="000B377D" w:rsidRDefault="000B377D" w:rsidP="000B377D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0B377D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 xml:space="preserve">Nescafé jest jedną z najpopularniejszych marek kawy na świecie. Co siódmy kubek </w:t>
      </w:r>
      <w:r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 xml:space="preserve">tego napoju </w:t>
      </w:r>
      <w:r w:rsidRPr="000B377D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to</w:t>
      </w:r>
      <w:r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 </w:t>
      </w:r>
      <w:r w:rsidRPr="000B377D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 xml:space="preserve">właśnie Nescafé. </w:t>
      </w:r>
    </w:p>
    <w:p w14:paraId="781C238C" w14:textId="77777777" w:rsidR="000B377D" w:rsidRPr="000B377D" w:rsidRDefault="000B377D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4F247A1D" w14:textId="221A927B" w:rsidR="000B377D" w:rsidRPr="000B377D" w:rsidRDefault="00D62B68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W trosce o jakość życia farmerów 10 lat temu Nestlé zainicjowało Nescafé Plan – szereg zobowiązań podjętych, by podnieść </w:t>
      </w:r>
      <w:r w:rsidR="006D2C8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zarobki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rolników, 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zmniejszyć negatywny wpływ plantacji i</w:t>
      </w:r>
      <w:r w:rsid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 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fabryk na środowisko oraz poprawić dobrobyt społeczności lokalnych w krajach</w:t>
      </w:r>
      <w:r w:rsidR="00735652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,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takich jak Brazylia, Kolumbia, Wybrzeże Kości Słoniowej, Kenia, Meksyk, Filipiny oraz Wietnam. Od </w:t>
      </w:r>
      <w:r w:rsidR="006D2C8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chwili startu</w:t>
      </w:r>
      <w:r w:rsidR="00652CC1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inicjatywy</w:t>
      </w:r>
      <w:r w:rsidR="006D2C8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firma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zainwestował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a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="006D2C8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w </w:t>
      </w:r>
      <w:r w:rsidR="006D2C8C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Nescafé</w:t>
      </w:r>
      <w:r w:rsidR="006D2C8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Plan</w:t>
      </w:r>
      <w:r w:rsidR="006D2C8C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350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 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milionów CHF.</w:t>
      </w:r>
    </w:p>
    <w:p w14:paraId="3189ADB8" w14:textId="77777777" w:rsidR="000B377D" w:rsidRPr="00D62B68" w:rsidRDefault="000B377D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09DA2997" w14:textId="280FADCB" w:rsidR="000B377D" w:rsidRPr="000B377D" w:rsidRDefault="00D62B68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Kontynuując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działania podjęte na przestrzeni ostatniej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dekady, Nestlé zobowiązuje się do 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dalszego wzmacniania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wysiłków na rzecz zrównoważonego rozwoju. </w:t>
      </w:r>
    </w:p>
    <w:p w14:paraId="117A2CBF" w14:textId="77777777" w:rsidR="000B377D" w:rsidRPr="000B377D" w:rsidRDefault="000B377D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17135948" w14:textId="60BA7AF1" w:rsidR="000B377D" w:rsidRDefault="006D2C8C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Jak podkreśla 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Philipp </w:t>
      </w:r>
      <w:proofErr w:type="spellStart"/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Navratil</w:t>
      </w:r>
      <w:proofErr w:type="spellEnd"/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, </w:t>
      </w:r>
      <w:r w:rsid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iceprezes, 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Dyrektor Dywizji Napojów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: „</w:t>
      </w:r>
      <w:r w:rsid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Wspólnie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z naszymi partnerami i 230 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ekspertami</w:t>
      </w:r>
      <w:r w:rsidR="003C519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="003C5193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Nescafé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="00AB3BD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 zakresie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rolnictwa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poprawiliśmy wydajność</w:t>
      </w:r>
      <w:r w:rsidR="00AB3BD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plantacji</w:t>
      </w:r>
      <w:r w:rsid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i</w:t>
      </w:r>
      <w:r w:rsidR="00AB3BD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 </w:t>
      </w:r>
      <w:r w:rsid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udoskonaliliśmy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="00AB3BD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stosowane 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praktyk</w:t>
      </w:r>
      <w:r w:rsid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i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rolnic</w:t>
      </w:r>
      <w:r w:rsid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ze, umożliwiając farmerom uzyskiwanie wyższej ceny za kawę </w:t>
      </w:r>
      <w:r w:rsidR="00CA22E1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uprawianą </w:t>
      </w:r>
      <w:r w:rsid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w sposób 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zrównoważony. </w:t>
      </w:r>
      <w:r w:rsidR="00AB3BD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Pomogliśmy zdywersyfikować także 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źródła dochodu</w:t>
      </w:r>
      <w:r w:rsidR="00882E3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lokalnych rolników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,</w:t>
      </w:r>
      <w:r w:rsid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dzięki czemu zmniejszyła się </w:t>
      </w:r>
      <w:r w:rsidR="00882E3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ich </w:t>
      </w:r>
      <w:r w:rsid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zależność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od monokultur</w:t>
      </w:r>
      <w:r w:rsidR="00AB3BD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, a</w:t>
      </w:r>
      <w:r w:rsidR="00882E3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 </w:t>
      </w:r>
      <w:r w:rsidR="00AB3BD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zwiększyły</w:t>
      </w:r>
      <w:r w:rsidR="00882E3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="00AB3BD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możliwości dostosowywania do nowych warunków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. Nie poprzestaniemy na tym. Nasze programy będą</w:t>
      </w:r>
      <w:r w:rsidR="00AB3BD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się dalej rozwijać, by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warunk</w:t>
      </w:r>
      <w:r w:rsidR="00AB3BD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i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socjaln</w:t>
      </w:r>
      <w:r w:rsidR="00AB3BD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e 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na plantacjach</w:t>
      </w:r>
      <w:r w:rsidR="00AB3BD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i wśród lokalnej społeczności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="00AB3BD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stawały się lepsze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. </w:t>
      </w:r>
      <w:r w:rsidR="00AB3BDC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Wzmocnimy </w:t>
      </w:r>
      <w:r w:rsidR="00C20167"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nasze wysiłki w zakresie praw pracowniczych, ochrony dzieci, wzmocnienia pozycji </w:t>
      </w:r>
      <w:r w:rsid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osób młodych</w:t>
      </w:r>
      <w:r w:rsidR="00C20167"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i kobiet</w:t>
      </w:r>
      <w:r w:rsidR="003C519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”.</w:t>
      </w:r>
    </w:p>
    <w:p w14:paraId="5C54D3FB" w14:textId="77777777" w:rsidR="000B377D" w:rsidRPr="00A75D3A" w:rsidRDefault="000B377D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3D552032" w14:textId="595CE37C" w:rsidR="000B377D" w:rsidRDefault="000B377D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Nescafé </w:t>
      </w:r>
      <w:r w:rsidR="00A75D3A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spodziewa się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, że do 2025 r</w:t>
      </w:r>
      <w:r w:rsidR="00A75D3A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oku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="00A75D3A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100% 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wykorzystywanych</w:t>
      </w:r>
      <w:r w:rsidR="00882E3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przez markę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ziaren</w:t>
      </w:r>
      <w:r w:rsidR="00A75D3A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będzie pochodzić ze zrównoważonych upraw i od zidentyfikowanej grupy rolników. Sama kawa jest weryfikowana i certyfikowana p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rzez niezależne organizacje. </w:t>
      </w:r>
    </w:p>
    <w:p w14:paraId="2891B22B" w14:textId="786CF30F" w:rsidR="00A75D3A" w:rsidRDefault="00A75D3A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283DC826" w14:textId="6060C03A" w:rsidR="00A75D3A" w:rsidRPr="000B377D" w:rsidRDefault="00A75D3A" w:rsidP="00A75D3A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Nescafé 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będzie ograniczać i redukować do 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zera emisj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e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dwutlenku węgla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w miejscach pozyskiwania kawy oraz w całej swojej działalności. Będzie stosować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także opakowania przyjazne 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środowisku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. Są to konkretne </w:t>
      </w:r>
      <w:r w:rsidR="00735652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kroki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, 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które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– razem z innymi inicjatywami – 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pomogą Nestlé 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zrealizować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zobowiąza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nie firmy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w zakresie opakowań 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do 2025 roku 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oraz osiągn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ąć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zerow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ą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emisj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ę 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netto do 2050 roku. </w:t>
      </w:r>
    </w:p>
    <w:p w14:paraId="6EE29798" w14:textId="77777777" w:rsidR="000B377D" w:rsidRPr="000B377D" w:rsidRDefault="000B377D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05DEA14D" w14:textId="49F20870" w:rsidR="000B377D" w:rsidRPr="000B377D" w:rsidRDefault="000B377D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Rainforest Alliance, 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partner Nescafé, weryfikuje 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działania w regionach, 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w których 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pozyskiwana jest kawa, aby upewnić się, że mają one pozytywny wpływ na życie rolników. Rainforest Alliance regularnie monitoruje 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także 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wdrażanie dobrych praktyk przez rolników oraz 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ich wpływ na wskaźniki takie jak np. </w:t>
      </w:r>
      <w:r w:rsidR="00D566C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wydajność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. </w:t>
      </w:r>
    </w:p>
    <w:p w14:paraId="48DEBCD9" w14:textId="77777777" w:rsidR="000B377D" w:rsidRPr="000B377D" w:rsidRDefault="000B377D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23FF9B50" w14:textId="6536710F" w:rsidR="000B377D" w:rsidRPr="000B377D" w:rsidRDefault="000B377D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“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Celem naszego 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partnerstw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a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z Nestlé w ramach Nescafé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Plan jest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popraw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a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i optymalizacj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a</w:t>
      </w:r>
      <w:r w:rsidR="00735652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procesu upraw kawy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. 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Dzięki współpracy z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Rainforest Alliance w zakresie szkoleń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rolników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, monitoring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u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i 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oceny upraw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, Nescafé 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otrzymało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szereg </w:t>
      </w:r>
      <w:r w:rsidR="00CA22E1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wskazówek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, </w:t>
      </w:r>
      <w:r w:rsidR="00F20EA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które pozwoliły marce dostosować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="00CA22E1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swoje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działania do </w:t>
      </w:r>
      <w:r w:rsidR="00735652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potrzeb 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plantatorów. Cieszymy się, że możemy </w:t>
      </w:r>
      <w:r w:rsidR="00735652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towarzyszyć Nescafé w tej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podróży”, mówi Alex Morgan, dyrektor marketingu Rainforest Alliance.</w:t>
      </w:r>
    </w:p>
    <w:p w14:paraId="1FF614AC" w14:textId="2B7D8651" w:rsidR="000B377D" w:rsidRPr="000B377D" w:rsidRDefault="000B377D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3E83BE56" w14:textId="40F7E9EB" w:rsidR="000B377D" w:rsidRPr="000B377D" w:rsidRDefault="000B377D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lastRenderedPageBreak/>
        <w:t>Od 2010</w:t>
      </w:r>
      <w:r w:rsidR="00320D68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roku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, czyli </w:t>
      </w:r>
      <w:r w:rsidR="00D566C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od </w:t>
      </w:r>
      <w:r w:rsidR="00882E3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momentu startu</w:t>
      </w:r>
      <w:r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Nescafé Plan, Nestlé </w:t>
      </w:r>
      <w:r w:rsidR="00320D68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udało się</w:t>
      </w:r>
      <w:r w:rsidR="00D566C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osiągnąć poniższe rezultaty:</w:t>
      </w:r>
    </w:p>
    <w:p w14:paraId="5F29B764" w14:textId="77777777" w:rsidR="000B377D" w:rsidRPr="000B377D" w:rsidRDefault="000B377D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5E6D6279" w14:textId="2D4C3EC2" w:rsidR="000B377D" w:rsidRPr="00C20167" w:rsidRDefault="000B377D" w:rsidP="00C20167">
      <w:pPr>
        <w:pStyle w:val="ListParagraph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75% kawy </w:t>
      </w:r>
      <w:r w:rsidR="00320D68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wykorzystywanej </w:t>
      </w:r>
      <w:r w:rsidR="001F30C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obecnie </w:t>
      </w:r>
      <w:r w:rsidR="00320D68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 produktach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Nescafé jest</w:t>
      </w:r>
      <w:r w:rsidR="00320D68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pozyskiwan</w:t>
      </w:r>
      <w:r w:rsidR="001F30C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e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="001F30C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 sposób zrównoważony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. </w:t>
      </w:r>
      <w:r w:rsidR="001F30C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Tylko w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2020 roku Nescafé kupił</w:t>
      </w:r>
      <w:r w:rsidR="00320D68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o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649 000 ton kawy pozyskanej w</w:t>
      </w:r>
      <w:r w:rsidR="00320D68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 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odpowiedzialny sposób, co jest największym zamówieniem od pojedynczego nabywcy kawy;</w:t>
      </w:r>
    </w:p>
    <w:p w14:paraId="16349362" w14:textId="2BB692A8" w:rsidR="000B377D" w:rsidRPr="00C20167" w:rsidRDefault="00594FE1" w:rsidP="00C20167">
      <w:pPr>
        <w:pStyle w:val="ListParagraph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 tym czasie rozdystrybuowano</w:t>
      </w:r>
      <w:r w:rsidR="000B377D"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235 milionów wysoko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plennych</w:t>
      </w:r>
      <w:r w:rsidR="000B377D"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i odpornych na choroby sadzonek kawy, przekraczając tym samym początkowy cel 220 milionów. Przyczyniło się to do 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odnowy blisko </w:t>
      </w:r>
      <w:r w:rsidR="000B377D"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120 000 hektarów 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farm kawowych</w:t>
      </w:r>
      <w:r w:rsidR="000B377D"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na całym świecie;</w:t>
      </w:r>
    </w:p>
    <w:p w14:paraId="713E360A" w14:textId="5AC1179D" w:rsidR="000B377D" w:rsidRPr="00C20167" w:rsidRDefault="000B377D" w:rsidP="00C20167">
      <w:pPr>
        <w:pStyle w:val="ListParagraph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Opracowano</w:t>
      </w:r>
      <w:r w:rsidR="00594FE1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15 nowych odmian kaw </w:t>
      </w:r>
      <w:proofErr w:type="spellStart"/>
      <w:r w:rsidR="00594FE1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A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rabica</w:t>
      </w:r>
      <w:proofErr w:type="spellEnd"/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i </w:t>
      </w:r>
      <w:proofErr w:type="spellStart"/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Robusta</w:t>
      </w:r>
      <w:proofErr w:type="spellEnd"/>
      <w:r w:rsidR="00594FE1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, które zostały wprowadzane na rynek 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w pięciu krajach: Meksyku, Kolumbii, Ekwadorze, Filipinach i Tajlandii. Sadzonki tych kaw, mają wyższą </w:t>
      </w:r>
      <w:r w:rsidR="00594FE1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wydajność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, odporność i </w:t>
      </w:r>
      <w:r w:rsidR="00704B84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wysoką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jakość;</w:t>
      </w:r>
    </w:p>
    <w:p w14:paraId="358908F1" w14:textId="63C470F3" w:rsidR="000B377D" w:rsidRPr="00C20167" w:rsidRDefault="000B377D" w:rsidP="00C20167">
      <w:pPr>
        <w:pStyle w:val="ListParagraph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Przeprowadzono ponad 900 000 sesji szkoleniowych</w:t>
      </w:r>
      <w:r w:rsidR="00704B84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w zakresie dobrych praktyk rolniczych. Ich celem była optymalizacja </w:t>
      </w:r>
      <w:r w:rsidR="00704B84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wydajności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i kosztów, poprawa jakości</w:t>
      </w:r>
      <w:r w:rsidR="00882E3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plonów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i</w:t>
      </w:r>
      <w:r w:rsidR="00594FE1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 </w:t>
      </w:r>
      <w:r w:rsidR="00704B84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zmniejszenie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wpływu </w:t>
      </w:r>
      <w:r w:rsidR="00882E3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upraw 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na środowisko poprzez </w:t>
      </w:r>
      <w:r w:rsidR="00704B84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efektywne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metody nawadniania lub techniki </w:t>
      </w:r>
      <w:r w:rsidR="00704B84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przycinania roślin;</w:t>
      </w:r>
    </w:p>
    <w:p w14:paraId="6AEF5DEE" w14:textId="31230446" w:rsidR="000B377D" w:rsidRPr="00C20167" w:rsidRDefault="000B377D" w:rsidP="00C20167">
      <w:pPr>
        <w:pStyle w:val="ListParagraph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Wzmocniono pozycję ponad 10 000 kobiet i młodych rolników poprzez programy </w:t>
      </w:r>
      <w:r w:rsidR="00594FE1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szkoleniowe z 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zakresu przywództwa</w:t>
      </w:r>
      <w:r w:rsidR="00594FE1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oraz 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ekonomicznego </w:t>
      </w:r>
      <w:r w:rsidR="00704B84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zarządzania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gospodarstw</w:t>
      </w:r>
      <w:r w:rsidR="00704B84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em</w:t>
      </w:r>
      <w:r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domowym;</w:t>
      </w:r>
    </w:p>
    <w:p w14:paraId="441C645A" w14:textId="27A35D78" w:rsidR="000B377D" w:rsidRPr="00C20167" w:rsidRDefault="00CA22E1" w:rsidP="00C20167">
      <w:pPr>
        <w:pStyle w:val="ListParagraph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Zadbano o rozwój </w:t>
      </w:r>
      <w:r w:rsidR="000B377D"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umiejętności biznesowe ponad 10 000 rolników, </w:t>
      </w:r>
      <w:r w:rsidR="00704B84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koncentrując się na wiedzy z zakresu finansów</w:t>
      </w:r>
      <w:r w:rsidR="000B377D"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oraz </w:t>
      </w:r>
      <w:r w:rsidR="00056960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umiejętności</w:t>
      </w:r>
      <w:r w:rsidR="000B377D"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prowadzenia dokumentacji</w:t>
      </w:r>
      <w:r w:rsidR="00D566C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, a także </w:t>
      </w:r>
      <w:r w:rsidR="000B377D" w:rsidRPr="00C20167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ogólnej przedsiębiorczości</w:t>
      </w:r>
    </w:p>
    <w:p w14:paraId="1042AA63" w14:textId="77777777" w:rsidR="000B377D" w:rsidRPr="000B377D" w:rsidRDefault="000B377D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688F5BB3" w14:textId="1ADDC705" w:rsidR="000B377D" w:rsidRPr="000B377D" w:rsidRDefault="00056960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Przed końcem roku 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Nestlé opublikuje nową i rozszerzoną 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mapę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drogow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>ą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zrównoważonego rozwoju Nescafé. Firma zamierza nadal 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wspierać </w:t>
      </w:r>
      <w:r w:rsidR="00882E33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budowę</w:t>
      </w:r>
      <w:r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stabilnego,</w:t>
      </w:r>
      <w:r w:rsidR="000B377D" w:rsidRPr="000B377D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bardziej zrównoważonego sektora kawowego. </w:t>
      </w:r>
    </w:p>
    <w:p w14:paraId="6086E7DB" w14:textId="77777777" w:rsidR="00594FE1" w:rsidRDefault="00594FE1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5EBDC3A8" w14:textId="3B7510C8" w:rsidR="000B377D" w:rsidRPr="00056960" w:rsidRDefault="00882E33" w:rsidP="000B377D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en-GB"/>
        </w:rPr>
      </w:pPr>
      <w:proofErr w:type="spellStart"/>
      <w:r>
        <w:rPr>
          <w:rFonts w:ascii="Nestle Text TF Book" w:eastAsiaTheme="minorEastAsia" w:hAnsi="Nestle Text TF Book" w:cstheme="minorHAnsi"/>
          <w:sz w:val="20"/>
          <w:szCs w:val="20"/>
          <w:lang w:val="en-GB"/>
        </w:rPr>
        <w:t>P</w:t>
      </w:r>
      <w:r w:rsidR="000B377D" w:rsidRPr="00056960">
        <w:rPr>
          <w:rFonts w:ascii="Nestle Text TF Book" w:eastAsiaTheme="minorEastAsia" w:hAnsi="Nestle Text TF Book" w:cstheme="minorHAnsi"/>
          <w:sz w:val="20"/>
          <w:szCs w:val="20"/>
          <w:lang w:val="en-GB"/>
        </w:rPr>
        <w:t>ełny</w:t>
      </w:r>
      <w:proofErr w:type="spellEnd"/>
      <w:r w:rsidR="000B377D" w:rsidRPr="00056960">
        <w:rPr>
          <w:rFonts w:ascii="Nestle Text TF Book" w:eastAsiaTheme="minorEastAsia" w:hAnsi="Nestle Text TF Book" w:cstheme="minorHAnsi"/>
          <w:sz w:val="20"/>
          <w:szCs w:val="20"/>
          <w:lang w:val="en-GB"/>
        </w:rPr>
        <w:t xml:space="preserve"> </w:t>
      </w:r>
      <w:proofErr w:type="spellStart"/>
      <w:r w:rsidR="000B377D" w:rsidRPr="00056960">
        <w:rPr>
          <w:rFonts w:ascii="Nestle Text TF Book" w:eastAsiaTheme="minorEastAsia" w:hAnsi="Nestle Text TF Book" w:cstheme="minorHAnsi"/>
          <w:sz w:val="20"/>
          <w:szCs w:val="20"/>
          <w:lang w:val="en-GB"/>
        </w:rPr>
        <w:t>raport</w:t>
      </w:r>
      <w:proofErr w:type="spellEnd"/>
      <w:r w:rsidR="00056960" w:rsidRPr="00056960">
        <w:rPr>
          <w:rFonts w:ascii="Nestle Text TF Book" w:eastAsiaTheme="minorEastAsia" w:hAnsi="Nestle Text TF Book" w:cstheme="minorHAnsi"/>
          <w:sz w:val="20"/>
          <w:szCs w:val="20"/>
          <w:lang w:val="en-GB"/>
        </w:rPr>
        <w:t xml:space="preserve"> w </w:t>
      </w:r>
      <w:proofErr w:type="spellStart"/>
      <w:r w:rsidR="00056960" w:rsidRPr="00056960">
        <w:rPr>
          <w:rFonts w:ascii="Nestle Text TF Book" w:eastAsiaTheme="minorEastAsia" w:hAnsi="Nestle Text TF Book" w:cstheme="minorHAnsi"/>
          <w:sz w:val="20"/>
          <w:szCs w:val="20"/>
          <w:lang w:val="en-GB"/>
        </w:rPr>
        <w:t>języku</w:t>
      </w:r>
      <w:proofErr w:type="spellEnd"/>
      <w:r w:rsidR="00056960" w:rsidRPr="00056960">
        <w:rPr>
          <w:rFonts w:ascii="Nestle Text TF Book" w:eastAsiaTheme="minorEastAsia" w:hAnsi="Nestle Text TF Book" w:cstheme="minorHAnsi"/>
          <w:sz w:val="20"/>
          <w:szCs w:val="20"/>
          <w:lang w:val="en-GB"/>
        </w:rPr>
        <w:t xml:space="preserve"> </w:t>
      </w:r>
      <w:proofErr w:type="spellStart"/>
      <w:r w:rsidR="00056960" w:rsidRPr="00056960">
        <w:rPr>
          <w:rFonts w:ascii="Nestle Text TF Book" w:eastAsiaTheme="minorEastAsia" w:hAnsi="Nestle Text TF Book" w:cstheme="minorHAnsi"/>
          <w:sz w:val="20"/>
          <w:szCs w:val="20"/>
          <w:lang w:val="en-GB"/>
        </w:rPr>
        <w:t>angielskim</w:t>
      </w:r>
      <w:proofErr w:type="spellEnd"/>
      <w:r w:rsidR="000B377D" w:rsidRPr="00056960">
        <w:rPr>
          <w:rFonts w:ascii="Nestle Text TF Book" w:eastAsiaTheme="minorEastAsia" w:hAnsi="Nestle Text TF Book" w:cstheme="minorHAnsi"/>
          <w:sz w:val="20"/>
          <w:szCs w:val="20"/>
          <w:lang w:val="en-GB"/>
        </w:rPr>
        <w:t xml:space="preserve">: </w:t>
      </w:r>
      <w:hyperlink r:id="rId11" w:tgtFrame="_blank" w:tooltip="Opens in a new window: Our sustainable journey - Ten years of the Nescafé Plan - PDF document" w:history="1">
        <w:r w:rsidR="00056960" w:rsidRPr="00056960">
          <w:rPr>
            <w:rStyle w:val="Hyperlink"/>
            <w:rFonts w:ascii="Nestle Text TF Book" w:eastAsiaTheme="minorEastAsia" w:hAnsi="Nestle Text TF Book" w:cstheme="minorHAnsi"/>
            <w:sz w:val="20"/>
            <w:szCs w:val="20"/>
          </w:rPr>
          <w:t xml:space="preserve">Our </w:t>
        </w:r>
        <w:proofErr w:type="spellStart"/>
        <w:r w:rsidR="00056960" w:rsidRPr="00056960">
          <w:rPr>
            <w:rStyle w:val="Hyperlink"/>
            <w:rFonts w:ascii="Nestle Text TF Book" w:eastAsiaTheme="minorEastAsia" w:hAnsi="Nestle Text TF Book" w:cstheme="minorHAnsi"/>
            <w:sz w:val="20"/>
            <w:szCs w:val="20"/>
          </w:rPr>
          <w:t>sustainable</w:t>
        </w:r>
        <w:proofErr w:type="spellEnd"/>
        <w:r w:rsidR="00056960" w:rsidRPr="00056960">
          <w:rPr>
            <w:rStyle w:val="Hyperlink"/>
            <w:rFonts w:ascii="Nestle Text TF Book" w:eastAsiaTheme="minorEastAsia" w:hAnsi="Nestle Text TF Book" w:cstheme="minorHAnsi"/>
            <w:sz w:val="20"/>
            <w:szCs w:val="20"/>
          </w:rPr>
          <w:t xml:space="preserve"> </w:t>
        </w:r>
        <w:proofErr w:type="spellStart"/>
        <w:r w:rsidR="00056960" w:rsidRPr="00056960">
          <w:rPr>
            <w:rStyle w:val="Hyperlink"/>
            <w:rFonts w:ascii="Nestle Text TF Book" w:eastAsiaTheme="minorEastAsia" w:hAnsi="Nestle Text TF Book" w:cstheme="minorHAnsi"/>
            <w:sz w:val="20"/>
            <w:szCs w:val="20"/>
          </w:rPr>
          <w:t>journey</w:t>
        </w:r>
        <w:proofErr w:type="spellEnd"/>
        <w:r w:rsidR="00056960" w:rsidRPr="00056960">
          <w:rPr>
            <w:rStyle w:val="Hyperlink"/>
            <w:rFonts w:ascii="Nestle Text TF Book" w:eastAsiaTheme="minorEastAsia" w:hAnsi="Nestle Text TF Book" w:cstheme="minorHAnsi"/>
            <w:sz w:val="20"/>
            <w:szCs w:val="20"/>
          </w:rPr>
          <w:t xml:space="preserve"> - </w:t>
        </w:r>
        <w:proofErr w:type="spellStart"/>
        <w:r w:rsidR="00056960" w:rsidRPr="00056960">
          <w:rPr>
            <w:rStyle w:val="Hyperlink"/>
            <w:rFonts w:ascii="Nestle Text TF Book" w:eastAsiaTheme="minorEastAsia" w:hAnsi="Nestle Text TF Book" w:cstheme="minorHAnsi"/>
            <w:sz w:val="20"/>
            <w:szCs w:val="20"/>
          </w:rPr>
          <w:t>Ten</w:t>
        </w:r>
        <w:proofErr w:type="spellEnd"/>
        <w:r w:rsidR="00056960" w:rsidRPr="00056960">
          <w:rPr>
            <w:rStyle w:val="Hyperlink"/>
            <w:rFonts w:ascii="Nestle Text TF Book" w:eastAsiaTheme="minorEastAsia" w:hAnsi="Nestle Text TF Book" w:cstheme="minorHAnsi"/>
            <w:sz w:val="20"/>
            <w:szCs w:val="20"/>
          </w:rPr>
          <w:t xml:space="preserve"> </w:t>
        </w:r>
        <w:proofErr w:type="spellStart"/>
        <w:r w:rsidR="00056960" w:rsidRPr="00056960">
          <w:rPr>
            <w:rStyle w:val="Hyperlink"/>
            <w:rFonts w:ascii="Nestle Text TF Book" w:eastAsiaTheme="minorEastAsia" w:hAnsi="Nestle Text TF Book" w:cstheme="minorHAnsi"/>
            <w:sz w:val="20"/>
            <w:szCs w:val="20"/>
          </w:rPr>
          <w:t>years</w:t>
        </w:r>
        <w:proofErr w:type="spellEnd"/>
        <w:r w:rsidR="00056960" w:rsidRPr="00056960">
          <w:rPr>
            <w:rStyle w:val="Hyperlink"/>
            <w:rFonts w:ascii="Nestle Text TF Book" w:eastAsiaTheme="minorEastAsia" w:hAnsi="Nestle Text TF Book" w:cstheme="minorHAnsi"/>
            <w:sz w:val="20"/>
            <w:szCs w:val="20"/>
          </w:rPr>
          <w:t xml:space="preserve"> of the </w:t>
        </w:r>
        <w:r w:rsidR="00056960" w:rsidRPr="00056960">
          <w:rPr>
            <w:rStyle w:val="Hyperlink"/>
            <w:rFonts w:ascii="Nestle Text TF Book" w:eastAsiaTheme="minorEastAsia" w:hAnsi="Nestle Text TF Book" w:cstheme="minorHAnsi"/>
            <w:i/>
            <w:iCs/>
            <w:sz w:val="20"/>
            <w:szCs w:val="20"/>
          </w:rPr>
          <w:t>Nescafé Plan</w:t>
        </w:r>
        <w:r w:rsidR="00056960" w:rsidRPr="00056960">
          <w:rPr>
            <w:rStyle w:val="Hyperlink"/>
            <w:rFonts w:ascii="Nestle Text TF Book" w:eastAsiaTheme="minorEastAsia" w:hAnsi="Nestle Text TF Book" w:cstheme="minorHAnsi"/>
            <w:sz w:val="20"/>
            <w:szCs w:val="20"/>
          </w:rPr>
          <w:t> (</w:t>
        </w:r>
        <w:proofErr w:type="spellStart"/>
        <w:r w:rsidR="00056960" w:rsidRPr="00056960">
          <w:rPr>
            <w:rStyle w:val="Hyperlink"/>
            <w:rFonts w:ascii="Nestle Text TF Book" w:eastAsiaTheme="minorEastAsia" w:hAnsi="Nestle Text TF Book" w:cstheme="minorHAnsi"/>
            <w:sz w:val="20"/>
            <w:szCs w:val="20"/>
          </w:rPr>
          <w:t>pdf</w:t>
        </w:r>
        <w:proofErr w:type="spellEnd"/>
        <w:r w:rsidR="00056960" w:rsidRPr="00056960">
          <w:rPr>
            <w:rStyle w:val="Hyperlink"/>
            <w:rFonts w:ascii="Nestle Text TF Book" w:eastAsiaTheme="minorEastAsia" w:hAnsi="Nestle Text TF Book" w:cstheme="minorHAnsi"/>
            <w:sz w:val="20"/>
            <w:szCs w:val="20"/>
          </w:rPr>
          <w:t>, 4 Mb)</w:t>
        </w:r>
      </w:hyperlink>
    </w:p>
    <w:p w14:paraId="52B918DC" w14:textId="77777777" w:rsidR="00DE1BBF" w:rsidRPr="00056960" w:rsidRDefault="00DE1BBF" w:rsidP="00DE1BBF">
      <w:pPr>
        <w:jc w:val="both"/>
        <w:rPr>
          <w:rFonts w:ascii="Nestle Text TF Book" w:eastAsia="Times New Roman" w:hAnsi="Nestle Text TF Book" w:cs="Calibri"/>
          <w:b/>
          <w:bCs/>
          <w:color w:val="000080"/>
          <w:sz w:val="16"/>
          <w:szCs w:val="16"/>
          <w:lang w:val="en-GB" w:eastAsia="pl-PL"/>
        </w:rPr>
      </w:pPr>
    </w:p>
    <w:p w14:paraId="190B79E6" w14:textId="77777777" w:rsidR="00B944A6" w:rsidRPr="00A65766" w:rsidRDefault="00B944A6" w:rsidP="00B944A6">
      <w:pPr>
        <w:jc w:val="both"/>
        <w:rPr>
          <w:rFonts w:ascii="Nestle Text TF Book" w:hAnsi="Nestle Text TF Book" w:cstheme="minorHAnsi"/>
          <w:b/>
          <w:bCs/>
          <w:sz w:val="18"/>
          <w:szCs w:val="18"/>
          <w:lang w:val="pl-PL"/>
        </w:rPr>
      </w:pPr>
      <w:r w:rsidRPr="00A65766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>O Nestlé</w:t>
      </w:r>
    </w:p>
    <w:p w14:paraId="68503A7A" w14:textId="55068646" w:rsidR="00B944A6" w:rsidRPr="00A65766" w:rsidRDefault="00B944A6" w:rsidP="00B944A6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  <w:r w:rsidRPr="00A65766">
        <w:rPr>
          <w:rFonts w:ascii="Nestle Text TF Book" w:hAnsi="Nestle Text TF Book" w:cstheme="minorHAnsi"/>
          <w:sz w:val="18"/>
          <w:szCs w:val="18"/>
          <w:lang w:val="pl-PL"/>
        </w:rPr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Nestlé działa na polskim rynku od </w:t>
      </w:r>
      <w:r w:rsidR="00EB5D9C">
        <w:rPr>
          <w:rFonts w:ascii="Nestle Text TF Book" w:hAnsi="Nestle Text TF Book" w:cstheme="minorHAnsi"/>
          <w:sz w:val="18"/>
          <w:szCs w:val="18"/>
          <w:lang w:val="pl-PL"/>
        </w:rPr>
        <w:t>1993 roku</w:t>
      </w:r>
      <w:r w:rsidRPr="00A65766">
        <w:rPr>
          <w:rFonts w:ascii="Nestle Text TF Book" w:hAnsi="Nestle Text TF Book" w:cstheme="minorHAnsi"/>
          <w:sz w:val="18"/>
          <w:szCs w:val="18"/>
          <w:lang w:val="pl-PL"/>
        </w:rPr>
        <w:t>. Firma zatrudnia aktualnie 5500 pracowników w</w:t>
      </w:r>
      <w:r w:rsidR="00C906A7" w:rsidRPr="00A65766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A65766">
        <w:rPr>
          <w:rFonts w:ascii="Nestle Text TF Book" w:hAnsi="Nestle Text TF Book" w:cstheme="minorHAnsi"/>
          <w:sz w:val="18"/>
          <w:szCs w:val="18"/>
          <w:lang w:val="pl-PL"/>
        </w:rPr>
        <w:t>8 lokalizacjach.</w:t>
      </w:r>
    </w:p>
    <w:p w14:paraId="472AEE62" w14:textId="77777777" w:rsidR="0010475E" w:rsidRPr="00C55A67" w:rsidRDefault="0010475E" w:rsidP="00457189">
      <w:pPr>
        <w:jc w:val="both"/>
        <w:rPr>
          <w:rFonts w:ascii="Nestle Text TF Book" w:hAnsi="Nestle Text TF Book" w:cs="Arial"/>
          <w:sz w:val="18"/>
          <w:szCs w:val="18"/>
          <w:lang w:val="pl-PL" w:bidi="pl-PL"/>
        </w:rPr>
      </w:pPr>
    </w:p>
    <w:tbl>
      <w:tblPr>
        <w:tblStyle w:val="TableGrid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391"/>
        <w:gridCol w:w="642"/>
        <w:gridCol w:w="1742"/>
        <w:gridCol w:w="581"/>
        <w:gridCol w:w="3485"/>
      </w:tblGrid>
      <w:tr w:rsidR="007E36FF" w:rsidRPr="00056960" w14:paraId="664D54D7" w14:textId="77777777" w:rsidTr="006F2055">
        <w:trPr>
          <w:trHeight w:hRule="exact" w:val="290"/>
        </w:trPr>
        <w:tc>
          <w:tcPr>
            <w:tcW w:w="1161" w:type="dxa"/>
            <w:vAlign w:val="bottom"/>
          </w:tcPr>
          <w:p w14:paraId="2F12FC9F" w14:textId="77777777" w:rsidR="007E36FF" w:rsidRPr="00056960" w:rsidRDefault="00DD19F9" w:rsidP="00B944A6">
            <w:pPr>
              <w:pStyle w:val="PRbasic"/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056960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Kontakt</w:t>
            </w:r>
            <w:r w:rsidR="007E36FF" w:rsidRPr="00056960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2033" w:type="dxa"/>
            <w:gridSpan w:val="2"/>
            <w:vAlign w:val="bottom"/>
          </w:tcPr>
          <w:p w14:paraId="06721F74" w14:textId="77777777" w:rsidR="007E36FF" w:rsidRPr="00056960" w:rsidRDefault="007E36FF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32D67C0" w14:textId="77777777" w:rsidR="007E36FF" w:rsidRPr="00056960" w:rsidRDefault="007E36FF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5FF21CF2" w14:textId="77777777" w:rsidR="007E36FF" w:rsidRPr="00056960" w:rsidRDefault="007E36FF" w:rsidP="00B944A6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D19F9" w:rsidRPr="00056960" w14:paraId="43B6AEE0" w14:textId="77777777" w:rsidTr="00056960">
        <w:trPr>
          <w:trHeight w:hRule="exact" w:val="281"/>
        </w:trPr>
        <w:tc>
          <w:tcPr>
            <w:tcW w:w="2552" w:type="dxa"/>
            <w:gridSpan w:val="2"/>
            <w:vAlign w:val="bottom"/>
          </w:tcPr>
          <w:p w14:paraId="3FBCAFA5" w14:textId="77777777" w:rsidR="00DD19F9" w:rsidRPr="00056960" w:rsidRDefault="00DD19F9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56960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384" w:type="dxa"/>
            <w:gridSpan w:val="2"/>
            <w:vAlign w:val="bottom"/>
          </w:tcPr>
          <w:p w14:paraId="44AB2A3A" w14:textId="77777777" w:rsidR="00DD19F9" w:rsidRPr="00056960" w:rsidRDefault="00DD19F9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56960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757FD260" w14:textId="706B89F6" w:rsidR="007B0EFA" w:rsidRPr="00056960" w:rsidRDefault="00CA22E1" w:rsidP="00B944A6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2" w:history="1">
              <w:r w:rsidR="00DD19F9" w:rsidRPr="00056960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DD19F9" w:rsidRPr="00056960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7B0EFA" w:rsidRPr="00056960" w14:paraId="0AB124C9" w14:textId="77777777" w:rsidTr="00056960">
        <w:trPr>
          <w:trHeight w:hRule="exact" w:val="283"/>
        </w:trPr>
        <w:tc>
          <w:tcPr>
            <w:tcW w:w="2552" w:type="dxa"/>
            <w:gridSpan w:val="2"/>
            <w:vAlign w:val="bottom"/>
          </w:tcPr>
          <w:p w14:paraId="42BAFC98" w14:textId="77777777" w:rsidR="007B0EFA" w:rsidRPr="00056960" w:rsidRDefault="007B0EFA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56960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384" w:type="dxa"/>
            <w:gridSpan w:val="2"/>
            <w:vAlign w:val="bottom"/>
          </w:tcPr>
          <w:p w14:paraId="1A791B27" w14:textId="77777777" w:rsidR="007B0EFA" w:rsidRPr="00056960" w:rsidRDefault="007B0EFA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56960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33136908" w14:textId="00DC9291" w:rsidR="007B0EFA" w:rsidRPr="00056960" w:rsidRDefault="00CA22E1" w:rsidP="00B944A6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3" w:history="1">
              <w:r w:rsidR="006F2055" w:rsidRPr="00056960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6F2055" w:rsidRPr="00056960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7B0EFA" w:rsidRPr="00056960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2D5467" w:rsidRPr="00056960" w14:paraId="0E32B33C" w14:textId="77777777" w:rsidTr="00056960">
        <w:trPr>
          <w:trHeight w:hRule="exact" w:val="567"/>
        </w:trPr>
        <w:tc>
          <w:tcPr>
            <w:tcW w:w="2552" w:type="dxa"/>
            <w:gridSpan w:val="2"/>
            <w:vAlign w:val="bottom"/>
          </w:tcPr>
          <w:p w14:paraId="7F38EDE0" w14:textId="55687E96" w:rsidR="002D5467" w:rsidRPr="00056960" w:rsidRDefault="002D5467" w:rsidP="002D5467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384" w:type="dxa"/>
            <w:gridSpan w:val="2"/>
            <w:vAlign w:val="bottom"/>
          </w:tcPr>
          <w:p w14:paraId="460A9B38" w14:textId="67EEF637" w:rsidR="002D5467" w:rsidRPr="00056960" w:rsidRDefault="002D5467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6" w:type="dxa"/>
            <w:gridSpan w:val="2"/>
            <w:vAlign w:val="bottom"/>
          </w:tcPr>
          <w:p w14:paraId="1FF17C1A" w14:textId="624ABAD9" w:rsidR="002D5467" w:rsidRPr="00056960" w:rsidRDefault="002D5467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23392084" w14:textId="7A28F91D" w:rsidR="002D5467" w:rsidRPr="00056960" w:rsidRDefault="002D5467" w:rsidP="000633AA">
      <w:pPr>
        <w:pStyle w:val="PRbasic"/>
        <w:spacing w:line="240" w:lineRule="auto"/>
        <w:rPr>
          <w:rFonts w:cstheme="minorHAnsi"/>
          <w:sz w:val="20"/>
          <w:szCs w:val="20"/>
          <w:lang w:val="pl-PL"/>
        </w:rPr>
      </w:pPr>
    </w:p>
    <w:sectPr w:rsidR="002D5467" w:rsidRPr="00056960" w:rsidSect="00DE1B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6F112" w14:textId="77777777" w:rsidR="00F87775" w:rsidRDefault="00F87775" w:rsidP="00E84FFA">
      <w:r>
        <w:separator/>
      </w:r>
    </w:p>
  </w:endnote>
  <w:endnote w:type="continuationSeparator" w:id="0">
    <w:p w14:paraId="241A4976" w14:textId="77777777" w:rsidR="00F87775" w:rsidRDefault="00F87775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Sylfaen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8064F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C1EA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026BB58F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1527">
      <w:rPr>
        <w:noProof/>
      </w:rPr>
      <w:t>2</w:t>
    </w:r>
    <w:r>
      <w:fldChar w:fldCharType="end"/>
    </w:r>
    <w:r>
      <w:t>/</w:t>
    </w:r>
    <w:fldSimple w:instr=" NUMPAGES   \* MERGEFORMAT ">
      <w:r w:rsidR="00921527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60C2" w14:textId="77777777" w:rsidR="00266317" w:rsidRDefault="00266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5312" w14:textId="77777777" w:rsidR="00F87775" w:rsidRDefault="00F87775" w:rsidP="00E84FFA">
      <w:r>
        <w:separator/>
      </w:r>
    </w:p>
  </w:footnote>
  <w:footnote w:type="continuationSeparator" w:id="0">
    <w:p w14:paraId="7C8342C1" w14:textId="77777777" w:rsidR="00F87775" w:rsidRDefault="00F87775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5551" w14:textId="77777777" w:rsidR="00266317" w:rsidRDefault="00266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04E4" w14:textId="77777777" w:rsidR="00266317" w:rsidRDefault="00266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41F6"/>
    <w:multiLevelType w:val="hybridMultilevel"/>
    <w:tmpl w:val="8138A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252EA"/>
    <w:multiLevelType w:val="hybridMultilevel"/>
    <w:tmpl w:val="5DFA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245FC"/>
    <w:multiLevelType w:val="hybridMultilevel"/>
    <w:tmpl w:val="3C306DC2"/>
    <w:lvl w:ilvl="0" w:tplc="1D7C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EA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E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E6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E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AC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8F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C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25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095"/>
    <w:rsid w:val="000053D5"/>
    <w:rsid w:val="0002128E"/>
    <w:rsid w:val="00021D9B"/>
    <w:rsid w:val="000313E3"/>
    <w:rsid w:val="000542C8"/>
    <w:rsid w:val="00056960"/>
    <w:rsid w:val="00061611"/>
    <w:rsid w:val="00061C65"/>
    <w:rsid w:val="000633AA"/>
    <w:rsid w:val="00080F1D"/>
    <w:rsid w:val="00084575"/>
    <w:rsid w:val="000846E5"/>
    <w:rsid w:val="000B377D"/>
    <w:rsid w:val="000B70D8"/>
    <w:rsid w:val="000B7C8B"/>
    <w:rsid w:val="000C548F"/>
    <w:rsid w:val="000C67AF"/>
    <w:rsid w:val="000F0295"/>
    <w:rsid w:val="000F0A7A"/>
    <w:rsid w:val="000F0DDC"/>
    <w:rsid w:val="000F607C"/>
    <w:rsid w:val="0010475E"/>
    <w:rsid w:val="00115E1D"/>
    <w:rsid w:val="00121F9D"/>
    <w:rsid w:val="001D1540"/>
    <w:rsid w:val="001D2609"/>
    <w:rsid w:val="001D4B75"/>
    <w:rsid w:val="001F30C3"/>
    <w:rsid w:val="00203A20"/>
    <w:rsid w:val="00216379"/>
    <w:rsid w:val="00224D23"/>
    <w:rsid w:val="00225943"/>
    <w:rsid w:val="00246071"/>
    <w:rsid w:val="0024676D"/>
    <w:rsid w:val="00250E6A"/>
    <w:rsid w:val="002517E3"/>
    <w:rsid w:val="00256CAA"/>
    <w:rsid w:val="00256E8B"/>
    <w:rsid w:val="00266317"/>
    <w:rsid w:val="00280BE6"/>
    <w:rsid w:val="002836C1"/>
    <w:rsid w:val="00285C47"/>
    <w:rsid w:val="00290EB0"/>
    <w:rsid w:val="00291653"/>
    <w:rsid w:val="002A0471"/>
    <w:rsid w:val="002B0AFE"/>
    <w:rsid w:val="002B5AA7"/>
    <w:rsid w:val="002C1353"/>
    <w:rsid w:val="002C4F53"/>
    <w:rsid w:val="002D2CA9"/>
    <w:rsid w:val="002D5467"/>
    <w:rsid w:val="002F0C67"/>
    <w:rsid w:val="002F6E3A"/>
    <w:rsid w:val="00320D68"/>
    <w:rsid w:val="00332832"/>
    <w:rsid w:val="00334B69"/>
    <w:rsid w:val="00366D6E"/>
    <w:rsid w:val="00382616"/>
    <w:rsid w:val="003A578E"/>
    <w:rsid w:val="003A6441"/>
    <w:rsid w:val="003C1341"/>
    <w:rsid w:val="003C5193"/>
    <w:rsid w:val="003C52B2"/>
    <w:rsid w:val="003C6669"/>
    <w:rsid w:val="003D1BB4"/>
    <w:rsid w:val="003F0590"/>
    <w:rsid w:val="0043319B"/>
    <w:rsid w:val="00456880"/>
    <w:rsid w:val="00457189"/>
    <w:rsid w:val="00470E13"/>
    <w:rsid w:val="004719E4"/>
    <w:rsid w:val="00482EC7"/>
    <w:rsid w:val="00495408"/>
    <w:rsid w:val="004B34CB"/>
    <w:rsid w:val="004E6FD6"/>
    <w:rsid w:val="004E7CED"/>
    <w:rsid w:val="0050572D"/>
    <w:rsid w:val="00507EEB"/>
    <w:rsid w:val="00521714"/>
    <w:rsid w:val="00527AC1"/>
    <w:rsid w:val="005471F9"/>
    <w:rsid w:val="00555CB1"/>
    <w:rsid w:val="00571EC3"/>
    <w:rsid w:val="005746A6"/>
    <w:rsid w:val="00592D36"/>
    <w:rsid w:val="00594FE1"/>
    <w:rsid w:val="00595F9A"/>
    <w:rsid w:val="005A18DD"/>
    <w:rsid w:val="005A5A09"/>
    <w:rsid w:val="005A61F5"/>
    <w:rsid w:val="005D2142"/>
    <w:rsid w:val="005D3A3D"/>
    <w:rsid w:val="005F1841"/>
    <w:rsid w:val="005F7D0C"/>
    <w:rsid w:val="0064678F"/>
    <w:rsid w:val="0065038D"/>
    <w:rsid w:val="00652CC1"/>
    <w:rsid w:val="00683580"/>
    <w:rsid w:val="00692992"/>
    <w:rsid w:val="006C1EE6"/>
    <w:rsid w:val="006D2C8C"/>
    <w:rsid w:val="006E5016"/>
    <w:rsid w:val="006F2055"/>
    <w:rsid w:val="00703892"/>
    <w:rsid w:val="00704B84"/>
    <w:rsid w:val="00705DBF"/>
    <w:rsid w:val="007110C4"/>
    <w:rsid w:val="00726092"/>
    <w:rsid w:val="00735652"/>
    <w:rsid w:val="007572F4"/>
    <w:rsid w:val="00761AEA"/>
    <w:rsid w:val="00763F73"/>
    <w:rsid w:val="00784636"/>
    <w:rsid w:val="007940FF"/>
    <w:rsid w:val="007A34E0"/>
    <w:rsid w:val="007A4089"/>
    <w:rsid w:val="007A4B84"/>
    <w:rsid w:val="007B0EFA"/>
    <w:rsid w:val="007E36FF"/>
    <w:rsid w:val="007F086B"/>
    <w:rsid w:val="008027AD"/>
    <w:rsid w:val="00805F51"/>
    <w:rsid w:val="00823A71"/>
    <w:rsid w:val="00836562"/>
    <w:rsid w:val="00846869"/>
    <w:rsid w:val="00851FAC"/>
    <w:rsid w:val="00882E33"/>
    <w:rsid w:val="00897D16"/>
    <w:rsid w:val="008A0B1F"/>
    <w:rsid w:val="008A51B6"/>
    <w:rsid w:val="008E7F02"/>
    <w:rsid w:val="009011CF"/>
    <w:rsid w:val="009036F6"/>
    <w:rsid w:val="00905D26"/>
    <w:rsid w:val="00910011"/>
    <w:rsid w:val="00921527"/>
    <w:rsid w:val="009265ED"/>
    <w:rsid w:val="00930BA4"/>
    <w:rsid w:val="00936960"/>
    <w:rsid w:val="009372DE"/>
    <w:rsid w:val="0097598F"/>
    <w:rsid w:val="0098045A"/>
    <w:rsid w:val="00986C74"/>
    <w:rsid w:val="009A02FF"/>
    <w:rsid w:val="009A10C4"/>
    <w:rsid w:val="009E1D1C"/>
    <w:rsid w:val="00A15A1F"/>
    <w:rsid w:val="00A15F48"/>
    <w:rsid w:val="00A2048D"/>
    <w:rsid w:val="00A50771"/>
    <w:rsid w:val="00A61AA9"/>
    <w:rsid w:val="00A65766"/>
    <w:rsid w:val="00A75D3A"/>
    <w:rsid w:val="00A80CD5"/>
    <w:rsid w:val="00A8157F"/>
    <w:rsid w:val="00A909F7"/>
    <w:rsid w:val="00A90DD7"/>
    <w:rsid w:val="00A90E4F"/>
    <w:rsid w:val="00A946FC"/>
    <w:rsid w:val="00AA1D4F"/>
    <w:rsid w:val="00AB380C"/>
    <w:rsid w:val="00AB3BDC"/>
    <w:rsid w:val="00AB7B97"/>
    <w:rsid w:val="00AC26E1"/>
    <w:rsid w:val="00AD1223"/>
    <w:rsid w:val="00AE0C2C"/>
    <w:rsid w:val="00AE152A"/>
    <w:rsid w:val="00AE6B3D"/>
    <w:rsid w:val="00AE7315"/>
    <w:rsid w:val="00B0109E"/>
    <w:rsid w:val="00B471E4"/>
    <w:rsid w:val="00B612C9"/>
    <w:rsid w:val="00B64966"/>
    <w:rsid w:val="00B668F4"/>
    <w:rsid w:val="00B944A6"/>
    <w:rsid w:val="00B94868"/>
    <w:rsid w:val="00BB4970"/>
    <w:rsid w:val="00BC2A99"/>
    <w:rsid w:val="00BE3B1F"/>
    <w:rsid w:val="00BF31FB"/>
    <w:rsid w:val="00BF62E1"/>
    <w:rsid w:val="00C00335"/>
    <w:rsid w:val="00C14F02"/>
    <w:rsid w:val="00C20167"/>
    <w:rsid w:val="00C3194C"/>
    <w:rsid w:val="00C55A67"/>
    <w:rsid w:val="00C634EB"/>
    <w:rsid w:val="00C906A7"/>
    <w:rsid w:val="00CA22E1"/>
    <w:rsid w:val="00CB1842"/>
    <w:rsid w:val="00CC2627"/>
    <w:rsid w:val="00CC47B2"/>
    <w:rsid w:val="00CD0108"/>
    <w:rsid w:val="00CD2C79"/>
    <w:rsid w:val="00CD4BA9"/>
    <w:rsid w:val="00CE1708"/>
    <w:rsid w:val="00CE1B03"/>
    <w:rsid w:val="00CF6B75"/>
    <w:rsid w:val="00D20954"/>
    <w:rsid w:val="00D2100B"/>
    <w:rsid w:val="00D23917"/>
    <w:rsid w:val="00D34B74"/>
    <w:rsid w:val="00D4591A"/>
    <w:rsid w:val="00D566C6"/>
    <w:rsid w:val="00D62B68"/>
    <w:rsid w:val="00D7299A"/>
    <w:rsid w:val="00DA2BF1"/>
    <w:rsid w:val="00DA3337"/>
    <w:rsid w:val="00DD19F9"/>
    <w:rsid w:val="00DE04E3"/>
    <w:rsid w:val="00DE1BBF"/>
    <w:rsid w:val="00E44884"/>
    <w:rsid w:val="00E46374"/>
    <w:rsid w:val="00E608D9"/>
    <w:rsid w:val="00E637DE"/>
    <w:rsid w:val="00E84FFA"/>
    <w:rsid w:val="00E9048D"/>
    <w:rsid w:val="00E90D15"/>
    <w:rsid w:val="00E9137A"/>
    <w:rsid w:val="00E93682"/>
    <w:rsid w:val="00EA528A"/>
    <w:rsid w:val="00EA5608"/>
    <w:rsid w:val="00EA5E6F"/>
    <w:rsid w:val="00EB5D9C"/>
    <w:rsid w:val="00EB67BA"/>
    <w:rsid w:val="00ED0CF3"/>
    <w:rsid w:val="00ED2D9D"/>
    <w:rsid w:val="00ED6FA2"/>
    <w:rsid w:val="00EE43F1"/>
    <w:rsid w:val="00F0314E"/>
    <w:rsid w:val="00F050F0"/>
    <w:rsid w:val="00F13456"/>
    <w:rsid w:val="00F20EA0"/>
    <w:rsid w:val="00F25468"/>
    <w:rsid w:val="00F27201"/>
    <w:rsid w:val="00F34F44"/>
    <w:rsid w:val="00F35FCD"/>
    <w:rsid w:val="00F570F3"/>
    <w:rsid w:val="00F612A0"/>
    <w:rsid w:val="00F87775"/>
    <w:rsid w:val="00FB059A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0B377D"/>
  </w:style>
  <w:style w:type="paragraph" w:styleId="ListParagraph">
    <w:name w:val="List Paragraph"/>
    <w:basedOn w:val="Normal"/>
    <w:uiPriority w:val="34"/>
    <w:qFormat/>
    <w:rsid w:val="00C2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5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dyta.iroko@pl.nest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com/sites/default/files/2021-01/sustainable-journey-ten-years-nescafe-plan-2021-e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a4b27344-1343-43ac-90df-d1ac1fd7aadf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8a708d76-d140-4fae-93e9-eb9550568c73"/>
  </ds:schemaRefs>
</ds:datastoreItem>
</file>

<file path=customXml/itemProps2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51BAE-2BFF-4469-9BC2-D4AE1A50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4706</Characters>
  <Application>Microsoft Office Word</Application>
  <DocSecurity>4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2</cp:revision>
  <cp:lastPrinted>2020-12-15T09:17:00Z</cp:lastPrinted>
  <dcterms:created xsi:type="dcterms:W3CDTF">2021-01-22T10:18:00Z</dcterms:created>
  <dcterms:modified xsi:type="dcterms:W3CDTF">2021-01-22T10:18:00Z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