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6539B7" w:rsidRDefault="00DD19F9" w:rsidP="00846869">
      <w:pPr>
        <w:pStyle w:val="PRtitle"/>
        <w:rPr>
          <w:rFonts w:ascii="Arial" w:hAnsi="Arial" w:cs="Arial"/>
          <w:lang w:val="pl-PL"/>
        </w:rPr>
      </w:pPr>
      <w:r w:rsidRPr="006539B7">
        <w:rPr>
          <w:rFonts w:ascii="Arial" w:hAnsi="Arial" w:cs="Arial"/>
          <w:lang w:val="pl-PL"/>
        </w:rPr>
        <w:t>Informacja prasowa</w:t>
      </w:r>
    </w:p>
    <w:p w14:paraId="3A19C5A3" w14:textId="6D887EF1" w:rsidR="00E84FFA" w:rsidRPr="006539B7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6539B7">
        <w:rPr>
          <w:rFonts w:ascii="Arial" w:hAnsi="Arial" w:cs="Arial"/>
          <w:lang w:val="pl-PL"/>
        </w:rPr>
        <w:t>Warszawa</w:t>
      </w:r>
      <w:r w:rsidR="00EA5608" w:rsidRPr="006539B7">
        <w:rPr>
          <w:rFonts w:ascii="Arial" w:hAnsi="Arial" w:cs="Arial"/>
          <w:lang w:val="pl-PL"/>
        </w:rPr>
        <w:t xml:space="preserve">, </w:t>
      </w:r>
      <w:r w:rsidR="007A2754" w:rsidRPr="006539B7">
        <w:rPr>
          <w:rFonts w:ascii="Arial" w:hAnsi="Arial" w:cs="Arial"/>
          <w:lang w:val="pl-PL"/>
        </w:rPr>
        <w:t>9 lutego</w:t>
      </w:r>
      <w:r w:rsidR="00283AEF" w:rsidRPr="006539B7">
        <w:rPr>
          <w:rFonts w:ascii="Arial" w:hAnsi="Arial" w:cs="Arial"/>
          <w:lang w:val="pl-PL"/>
        </w:rPr>
        <w:t xml:space="preserve"> </w:t>
      </w:r>
      <w:r w:rsidRPr="006539B7">
        <w:rPr>
          <w:rFonts w:ascii="Arial" w:hAnsi="Arial" w:cs="Arial"/>
          <w:lang w:val="pl-PL"/>
        </w:rPr>
        <w:t>202</w:t>
      </w:r>
      <w:r w:rsidR="00D627AA" w:rsidRPr="006539B7">
        <w:rPr>
          <w:rFonts w:ascii="Arial" w:hAnsi="Arial" w:cs="Arial"/>
          <w:lang w:val="pl-PL"/>
        </w:rPr>
        <w:t>1</w:t>
      </w:r>
      <w:r w:rsidR="00ED2D9D" w:rsidRPr="006539B7">
        <w:rPr>
          <w:rFonts w:ascii="Arial" w:hAnsi="Arial" w:cs="Arial"/>
          <w:lang w:val="pl-PL"/>
        </w:rPr>
        <w:tab/>
      </w:r>
    </w:p>
    <w:p w14:paraId="42A3BD9C" w14:textId="77777777" w:rsidR="00457189" w:rsidRPr="006539B7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5AC15DAB" w14:textId="781DC8C2" w:rsidR="00EB15EC" w:rsidRPr="006539B7" w:rsidRDefault="00EC6B02" w:rsidP="004872DE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Nestlé </w:t>
      </w:r>
      <w:r w:rsidR="00EF5776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stawia na rolnictwo regeneracyjne</w:t>
      </w:r>
      <w:r w:rsidR="00E51FD2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 xml:space="preserve"> – również w</w:t>
      </w:r>
      <w:r w:rsidR="00BD710D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 </w:t>
      </w:r>
      <w:r w:rsidR="00E51FD2" w:rsidRPr="006539B7">
        <w:rPr>
          <w:rFonts w:ascii="Nestle Text TF Book" w:eastAsiaTheme="minorEastAsia" w:hAnsi="Nestle Text TF Book"/>
          <w:b/>
          <w:bCs/>
          <w:sz w:val="32"/>
          <w:szCs w:val="28"/>
          <w:lang w:val="pl-PL"/>
        </w:rPr>
        <w:t>Polsce</w:t>
      </w:r>
    </w:p>
    <w:p w14:paraId="44E9A883" w14:textId="77777777" w:rsidR="00EC6B02" w:rsidRPr="006539B7" w:rsidRDefault="00EC6B0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1" w:name="_Hlk50990832"/>
      <w:bookmarkEnd w:id="0"/>
    </w:p>
    <w:p w14:paraId="55BF75E6" w14:textId="357C8E62" w:rsidR="00726D09" w:rsidRPr="006539B7" w:rsidRDefault="007A2754" w:rsidP="00EC6B0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Zmiany klimatyczne </w:t>
      </w:r>
      <w:r w:rsidR="00F63A9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to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ogromne zagrożenie dla </w:t>
      </w:r>
      <w:r w:rsidR="00E51FD2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przyszłości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żywności. </w:t>
      </w:r>
      <w:r w:rsidR="00BD710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Jej p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rodukcja </w:t>
      </w:r>
      <w:r w:rsidR="00BD710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jest jednym z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głównych źródeł emisji gazów cieplarnianych</w:t>
      </w:r>
      <w:r w:rsidR="00374E3C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 Z tego względu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374E3C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zrównoważenie całego systemu jest dziś kluczowym krokiem.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 zaprezentowanej przez Nestlé mapie drogowej do osiągnięcia zerowej emisji netto do 2050 roku ważnym punktem są działania w obszarze </w:t>
      </w:r>
      <w:r w:rsidR="000E23F1" w:rsidRPr="00E72F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rolnictwa regeneracyjnego</w:t>
      </w:r>
      <w:r w:rsidR="00E72FD5" w:rsidRPr="00E72FD5">
        <w:rPr>
          <w:rStyle w:val="FootnoteReference"/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footnoteReference w:id="1"/>
      </w:r>
      <w:r w:rsidR="000E23F1" w:rsidRPr="00E72FD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.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</w:t>
      </w:r>
      <w:r w:rsidR="0051603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 </w:t>
      </w:r>
      <w:r w:rsidR="001C1C86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ciągu pięciu lat firma będzie w ten sposób pozyskiwać 20% kluczowych surowców, zaś do 2030 roku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–</w:t>
      </w:r>
      <w:r w:rsidR="001C1C86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połowę. </w:t>
      </w:r>
      <w:r w:rsidR="000E23F1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</w:p>
    <w:p w14:paraId="6F2C13C3" w14:textId="77777777" w:rsidR="00E51FD2" w:rsidRPr="006539B7" w:rsidRDefault="00E51FD2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C778D24" w14:textId="7C6D5739" w:rsidR="003C65F3" w:rsidRDefault="00DE30BC" w:rsidP="00DE30BC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2" w:name="_Hlk63422195"/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Jak podkreśla </w:t>
      </w:r>
      <w:r w:rsidRPr="00DE30BC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Artur Jankowski, prezes Nestlé w Polsce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Jako wiodący producent żywności, patrzymy w przyszłość całego sektora. W Polsce już dziś wszystkie nasze fabryki korzystają z odnawialnej energii elektrycznej, </w:t>
      </w:r>
      <w:r w:rsidR="000F162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dynamicznie optymalizujemy nasze procesy i zmieniamy portfolio produktów. W 2021 roku ważnym obszarem będzie także współpraca z lokalnymi dostawcami. 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Pragniemy inspirować ich, by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wspólnie z nami </w:t>
      </w:r>
      <w:r w:rsidR="00CB7E02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tworzyli 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dobrą </w:t>
      </w:r>
      <w:r w:rsidR="00CB7E02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żywność</w:t>
      </w:r>
      <w:r w:rsidR="0056261A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 taką, która podnosi jakość życia ludzi i jest wyrazem szacunku dla naszej planety</w:t>
      </w:r>
      <w:r w:rsidR="000F1623" w:rsidRPr="00E72FD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0F162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1F12E247" w14:textId="77777777" w:rsidR="003C65F3" w:rsidRPr="006539B7" w:rsidRDefault="003C65F3" w:rsidP="00BD710D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A22027A" w14:textId="61FAEB3D" w:rsidR="000F7EAD" w:rsidRPr="006539B7" w:rsidRDefault="000F1623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olnictwo regeneracyjne 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znajdzie się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centrum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działań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realizowanych d</w:t>
      </w:r>
      <w:r w:rsidR="008C3494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 rolników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 Polsce</w:t>
      </w:r>
      <w:r w:rsidR="002C6D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Istotnym obszarem będ</w:t>
      </w:r>
      <w:r w:rsidR="002D27FE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zie rozpoczęcie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analizy obiegu dwutlenku węgla w</w:t>
      </w:r>
      <w:r w:rsidR="002D27FE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 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gospodarstwach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Celem badań jest optymalizacja obiegu składników odżywczych i</w:t>
      </w:r>
      <w:r w:rsidR="002D27FE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zwiększanie zawartości węgla organicznego w glebie. W pierwszej kolejności w projekt będą zaangażowani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rolnicy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współpracujący z fabryką Nestlé w Rzeszowie. </w:t>
      </w:r>
    </w:p>
    <w:p w14:paraId="37C4420F" w14:textId="7F271E39" w:rsidR="000F7EAD" w:rsidRPr="006539B7" w:rsidRDefault="000F7EAD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ABF7CAD" w14:textId="71FE37C0" w:rsidR="000F7EAD" w:rsidRPr="006539B7" w:rsidRDefault="002D27FE" w:rsidP="000F7EA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Prowadzone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będą także </w:t>
      </w:r>
      <w:r w:rsidR="000F7EAD"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działania edukacyjne</w:t>
      </w:r>
      <w:r w:rsidR="000F7EAD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w tym warsztaty online oraz wykłady z zakresu odpowiedniej kultywacji ukierunkowanej na regenerację gleby oraz zwiększenie biomasy realizowane we współpracy z naukowcami z Uniwersytetu Rolniczego w Krakowie.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Te ostanie, realizowane są w ramach </w:t>
      </w:r>
      <w:r w:rsidR="006634D6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trzeciej edycji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programu wsparcia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zrównoważonych upraw buraka ćwikłowego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Drugim kontynuowanym programem jest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Młody Rolnik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dzięki któremu młodzi przedsiębiorcy będą mieli dostęp do wsparcia ekspertów oraz otrzymają programy do zarządzania gospodarstwem.</w:t>
      </w:r>
    </w:p>
    <w:p w14:paraId="4B899A0D" w14:textId="25C5BB01" w:rsidR="002C6DD6" w:rsidRPr="006539B7" w:rsidRDefault="002C6DD6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6BA66194" w14:textId="1B5F8501" w:rsidR="002C6DD6" w:rsidRDefault="002D27FE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Obecnie w zakresie zrównoważonego rolnictwa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Polsce z Nestlé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współpracuje blisko 60 dostawców kluczowych warzyw i owoców – jabłek, marchwi, dyni i buraka ćwikłowego.</w:t>
      </w:r>
    </w:p>
    <w:p w14:paraId="3A7E3EB2" w14:textId="77777777" w:rsidR="00E72FD5" w:rsidRDefault="00E72FD5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386CE78" w14:textId="5609D697" w:rsidR="003C65F3" w:rsidRPr="006539B7" w:rsidRDefault="003C65F3" w:rsidP="003C65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56261A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</w:t>
      </w: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równoważony system żywnościowy wymaga</w:t>
      </w:r>
      <w:r w:rsidR="00E72FD5" w:rsidRPr="004872DE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2"/>
      </w:r>
      <w:r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produkcja żywności odbywała się w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myśl zasad rolnictwa regeneracyjnego, którego podstawą jest ochrona gleby, cykli wodnych i bioróżnorodności. W Polsce już od dawna blisko współpracujemy z rolnikami oraz środowiskiem naukowym, by przyczyniać się do pozytywnych zmian w prowadzeniu lokalnych gospodarstw i ograniczania ich wpływu na środowisko. W nadchodzących latach będziemy dodatkowo intensyfikować nasze działania w tym obszarze – </w:t>
      </w:r>
      <w:r w:rsidR="00662D2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mówi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Tomasz Korytkowski, </w:t>
      </w:r>
      <w:r w:rsidR="00DC0017" w:rsidRP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Kierownik ds. Integracji i Zrównoważonego Rozwoju Nestlé</w:t>
      </w:r>
      <w:r w:rsid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</w:t>
      </w:r>
      <w:r w:rsidR="00DC0017" w:rsidRP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Pols</w:t>
      </w:r>
      <w:r w:rsidR="00DC00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ce.</w:t>
      </w:r>
      <w:bookmarkStart w:id="3" w:name="_GoBack"/>
      <w:bookmarkEnd w:id="3"/>
    </w:p>
    <w:p w14:paraId="3C17CDFD" w14:textId="77777777" w:rsidR="001C1C86" w:rsidRPr="006539B7" w:rsidRDefault="001C1C86" w:rsidP="00E51FD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F9D6909" w14:textId="5C12C6F6" w:rsidR="00E51FD2" w:rsidRPr="006539B7" w:rsidRDefault="006634D6" w:rsidP="00E51FD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Zobowiązania Nestlé na świecie</w:t>
      </w:r>
      <w:r w:rsid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i w regionie</w:t>
      </w:r>
    </w:p>
    <w:p w14:paraId="05FC552F" w14:textId="77777777" w:rsidR="003C65F3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957CAEE" w14:textId="07217DE7" w:rsidR="006C6BEB" w:rsidRPr="006539B7" w:rsidRDefault="006C6BEB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ramach globalnego zobowiązania do 2030 roku firma ograniczy 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swoją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emisję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dwutlenku węgla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 połowę, by w 2050 roku osiągnąć zerową emisję netto. W ciągu najbliższych pięciu lat firma przewiduje inwestycje o łącznej wartości 3,2 mld CHF, które przyspieszą realizację tych zobowiązań. Z tej kwoty 1,2 mld CHF przeznaczone będzie na wsparcie rolnictwa regeneracyjnego w łańcuchu dostaw firmy. </w:t>
      </w:r>
    </w:p>
    <w:p w14:paraId="6F8D9736" w14:textId="5810B96B" w:rsidR="006C6BEB" w:rsidRPr="006539B7" w:rsidRDefault="006C6BEB" w:rsidP="006634D6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572C99A" w14:textId="01D57E70" w:rsidR="006C6BEB" w:rsidRDefault="006634D6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Jak podkreśla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ją przedstawiciele firmy, p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onad 2/3 emisji dwutlenku węgla Nestlé w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wymiarze globalnym ma źródło 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właśnie 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surowcach pochodzenia rolnego.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 tego względu firma zainwestuje w działania, które pozwolą zastąpić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ntensywne praktyki rolnictwem regeneracyjnym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 korzyścią dla przyrody i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dochodów rolników. 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Pozostałe obszary </w:t>
      </w:r>
      <w:r w:rsid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zmian to m.in.</w:t>
      </w:r>
      <w:r w:rsidR="006C6BEB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optymalizacja funkcjonowania fabryk i przejście na 100% odnawialnej energii elektrycznej we wszystkich oddziałach firmy do 2025 roku, transformacja portfolio produktów i rozwój w obszarze żywności na bazie roślin, a także dalsze intensywne prace nad opakowaniami</w:t>
      </w:r>
      <w:r w:rsidR="006539B7" w:rsidRPr="006539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tak, by do 2025 roku wszystkie nadawały się do recyklingu lub ponownego wykorzystania. </w:t>
      </w:r>
    </w:p>
    <w:p w14:paraId="3B1DA691" w14:textId="7B8BCB35" w:rsidR="003C65F3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9D63698" w14:textId="08861A9A" w:rsidR="003C65F3" w:rsidRDefault="003C65F3" w:rsidP="003C65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agniemy być </w:t>
      </w:r>
      <w:r w:rsidR="00DE30BC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wzorem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dążeniu do zerowej emisji netto</w:t>
      </w:r>
      <w:r w:rsid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</w:t>
      </w:r>
      <w:r w:rsidR="005E2F07" w:rsidRPr="005E2F0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la całego przemysłu spożywczego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Obecnie w Europie Środkowo-Wschodniej obsługujemy 70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milionów konsumentów. Tutaj też odbywa się znaczna część naszej produkcji. Tak silna obecność w regionie pomoże nam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skutecznie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rozwijać rolnictwo regeneracyjne wśród lokalnych społeczności. Pozwoli nam także zwiększać skalę działań w kierunku zrównoważonego rozwoju</w:t>
      </w:r>
      <w:r w:rsidR="00CB7E0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poprzez 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przejście na zieloną energię elektryczną, wspieranie ekologicznego transportu oraz rozszerzenie gamy marek neutralnych pod względem emisji. </w:t>
      </w:r>
      <w:r w:rsidR="004872DE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Wszystko to, by nasi </w:t>
      </w:r>
      <w:r w:rsidR="004E3F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konsumenci</w:t>
      </w:r>
      <w:r w:rsidR="004872DE" w:rsidRP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E3F7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mogli lepiej żyć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="0031253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wybierając</w:t>
      </w:r>
      <w:r w:rsidR="004872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produkty dobre dla nich oraz planety 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komentuje </w:t>
      </w:r>
      <w:r w:rsidRPr="003C65F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Michiel Kernkamp, CEO Nestlé w regionie Europy Środkowo-Wschodniej</w:t>
      </w:r>
      <w:r w:rsidRPr="003C65F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p w14:paraId="3CFFBBD9" w14:textId="77777777" w:rsidR="003C65F3" w:rsidRPr="006539B7" w:rsidRDefault="003C65F3" w:rsidP="006C6BEB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bookmarkEnd w:id="1"/>
    <w:bookmarkEnd w:id="2"/>
    <w:p w14:paraId="190B79E6" w14:textId="10C9104D" w:rsidR="00B944A6" w:rsidRPr="000F1623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0F1623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68503A7A" w14:textId="2120F2AD" w:rsidR="00B944A6" w:rsidRPr="000F1623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0F1623">
        <w:rPr>
          <w:rFonts w:ascii="Nestle Text TF Book" w:hAnsi="Nestle Text TF Book" w:cstheme="minorHAnsi"/>
          <w:sz w:val="20"/>
          <w:szCs w:val="20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0F1623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</w:t>
      </w:r>
      <w:r w:rsidR="00575AB1" w:rsidRPr="000F1623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0F1623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472AEE62" w14:textId="77777777" w:rsidR="0010475E" w:rsidRPr="006539B7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leGrid"/>
        <w:tblW w:w="96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51"/>
        <w:gridCol w:w="938"/>
        <w:gridCol w:w="1875"/>
        <w:gridCol w:w="626"/>
        <w:gridCol w:w="3752"/>
      </w:tblGrid>
      <w:tr w:rsidR="007E36FF" w:rsidRPr="006539B7" w14:paraId="664D54D7" w14:textId="77777777" w:rsidTr="000F1623">
        <w:trPr>
          <w:trHeight w:hRule="exact" w:val="615"/>
        </w:trPr>
        <w:tc>
          <w:tcPr>
            <w:tcW w:w="1250" w:type="dxa"/>
            <w:vAlign w:val="bottom"/>
          </w:tcPr>
          <w:p w14:paraId="2F12FC9F" w14:textId="77777777" w:rsidR="007E36FF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lastRenderedPageBreak/>
              <w:t>Kontakt</w:t>
            </w:r>
            <w:r w:rsidR="007E36FF" w:rsidRPr="000F162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2189" w:type="dxa"/>
            <w:gridSpan w:val="2"/>
            <w:vAlign w:val="bottom"/>
          </w:tcPr>
          <w:p w14:paraId="06721F74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01" w:type="dxa"/>
            <w:gridSpan w:val="2"/>
            <w:vAlign w:val="bottom"/>
          </w:tcPr>
          <w:p w14:paraId="632D67C0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752" w:type="dxa"/>
            <w:vAlign w:val="bottom"/>
          </w:tcPr>
          <w:p w14:paraId="5FF21CF2" w14:textId="77777777" w:rsidR="007E36FF" w:rsidRPr="000F1623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19F9" w:rsidRPr="006539B7" w14:paraId="43B6AEE0" w14:textId="77777777" w:rsidTr="000F1623">
        <w:trPr>
          <w:trHeight w:hRule="exact" w:val="430"/>
        </w:trPr>
        <w:tc>
          <w:tcPr>
            <w:tcW w:w="2501" w:type="dxa"/>
            <w:gridSpan w:val="2"/>
            <w:vAlign w:val="bottom"/>
          </w:tcPr>
          <w:p w14:paraId="3FBCAFA5" w14:textId="77777777" w:rsidR="00DD19F9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813" w:type="dxa"/>
            <w:gridSpan w:val="2"/>
            <w:vAlign w:val="bottom"/>
          </w:tcPr>
          <w:p w14:paraId="44AB2A3A" w14:textId="77777777" w:rsidR="00DD19F9" w:rsidRPr="000F1623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378" w:type="dxa"/>
            <w:gridSpan w:val="2"/>
            <w:vAlign w:val="bottom"/>
          </w:tcPr>
          <w:p w14:paraId="757FD260" w14:textId="706B89F6" w:rsidR="007B0EFA" w:rsidRPr="000F1623" w:rsidRDefault="00DC0017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1" w:history="1">
              <w:r w:rsidR="00DD19F9" w:rsidRPr="000F1623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6539B7" w14:paraId="0AB124C9" w14:textId="77777777" w:rsidTr="000F1623">
        <w:trPr>
          <w:trHeight w:hRule="exact" w:val="430"/>
        </w:trPr>
        <w:tc>
          <w:tcPr>
            <w:tcW w:w="2501" w:type="dxa"/>
            <w:gridSpan w:val="2"/>
            <w:vAlign w:val="bottom"/>
          </w:tcPr>
          <w:p w14:paraId="42BAFC98" w14:textId="77777777" w:rsidR="007B0EFA" w:rsidRPr="000F1623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813" w:type="dxa"/>
            <w:gridSpan w:val="2"/>
            <w:vAlign w:val="bottom"/>
          </w:tcPr>
          <w:p w14:paraId="1A791B27" w14:textId="77777777" w:rsidR="007B0EFA" w:rsidRPr="000F1623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0F1623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378" w:type="dxa"/>
            <w:gridSpan w:val="2"/>
            <w:vAlign w:val="bottom"/>
          </w:tcPr>
          <w:p w14:paraId="33136908" w14:textId="035CCA34" w:rsidR="007B0EFA" w:rsidRPr="000F1623" w:rsidRDefault="00DC0017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457189" w:rsidRPr="000F1623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457189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0EFA" w:rsidRPr="000F162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630675CF" w14:textId="77777777" w:rsidR="00E84FFA" w:rsidRPr="006539B7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6539B7" w:rsidSect="000259E6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851" w:left="2155" w:header="709" w:footer="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CD18" w14:textId="77777777" w:rsidR="004073BD" w:rsidRDefault="004073BD" w:rsidP="00E84FFA">
      <w:r>
        <w:separator/>
      </w:r>
    </w:p>
  </w:endnote>
  <w:endnote w:type="continuationSeparator" w:id="0">
    <w:p w14:paraId="74B1E019" w14:textId="77777777" w:rsidR="004073BD" w:rsidRDefault="004073BD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AR Light">
    <w:panose1 w:val="00000400000000000000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DC0017">
      <w:fldChar w:fldCharType="begin"/>
    </w:r>
    <w:r w:rsidR="00DC0017">
      <w:instrText xml:space="preserve"> NUMPAGES   \* MERGEFORMAT </w:instrText>
    </w:r>
    <w:r w:rsidR="00DC0017">
      <w:fldChar w:fldCharType="separate"/>
    </w:r>
    <w:r w:rsidR="00023B16">
      <w:rPr>
        <w:noProof/>
      </w:rPr>
      <w:t>2</w:t>
    </w:r>
    <w:r w:rsidR="00DC00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95008"/>
      <w:docPartObj>
        <w:docPartGallery w:val="Page Numbers (Bottom of Page)"/>
        <w:docPartUnique/>
      </w:docPartObj>
    </w:sdtPr>
    <w:sdtEndPr/>
    <w:sdtContent>
      <w:p w14:paraId="77CF6CDF" w14:textId="26018B06" w:rsidR="00382E23" w:rsidRDefault="00382E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C9E46A4" w14:textId="77777777" w:rsidR="00023B16" w:rsidRDefault="0002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FBEB" w14:textId="77777777" w:rsidR="004073BD" w:rsidRDefault="004073BD" w:rsidP="00E84FFA">
      <w:r>
        <w:separator/>
      </w:r>
    </w:p>
  </w:footnote>
  <w:footnote w:type="continuationSeparator" w:id="0">
    <w:p w14:paraId="58BD1499" w14:textId="77777777" w:rsidR="004073BD" w:rsidRDefault="004073BD" w:rsidP="00E84FFA">
      <w:r>
        <w:continuationSeparator/>
      </w:r>
    </w:p>
  </w:footnote>
  <w:footnote w:id="1">
    <w:p w14:paraId="066F21D8" w14:textId="3B51A91C" w:rsidR="00E72FD5" w:rsidRPr="00E72FD5" w:rsidRDefault="00E72FD5" w:rsidP="00E72FD5">
      <w:pPr>
        <w:pStyle w:val="FootnoteText"/>
        <w:jc w:val="both"/>
        <w:rPr>
          <w:rFonts w:ascii="Nestle Text TF AR Light" w:hAnsi="Nestle Text TF AR Light" w:cs="Nestle Text TF AR Light"/>
          <w:lang w:val="pl-PL"/>
        </w:rPr>
      </w:pPr>
      <w:r w:rsidRPr="00E72FD5">
        <w:rPr>
          <w:rStyle w:val="FootnoteReference"/>
          <w:rFonts w:ascii="Nestle Text TF AR Light" w:hAnsi="Nestle Text TF AR Light" w:cs="Nestle Text TF AR Light"/>
          <w:sz w:val="16"/>
          <w:szCs w:val="16"/>
          <w:lang w:val="pl-PL"/>
        </w:rPr>
        <w:footnoteRef/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Rolnictwo regeneracyjne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–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podejście do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systemów żywnościowych i rolniczych oparte na ochronie i odnowie.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Skupia się ono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na regeneracji wierzchniej warstwy gleby, zwiększeniu bioróżnorodności, poprawie obiegu wody,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wzmocnieniu ekosystem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ów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, wspieraniu biosekwestracji, zwiększeniu odporności na zmiany klimatu oraz wzmocnieniu 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kondycji 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i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 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>ży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>zności</w:t>
      </w:r>
      <w:r w:rsidRPr="00E72FD5"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 gleby rolnej</w:t>
      </w:r>
      <w:r>
        <w:rPr>
          <w:rFonts w:ascii="Nestle Text TF AR Light" w:hAnsi="Nestle Text TF AR Light" w:cs="Nestle Text TF AR Light"/>
          <w:sz w:val="16"/>
          <w:szCs w:val="16"/>
          <w:lang w:val="pl-PL"/>
        </w:rPr>
        <w:t xml:space="preserve">.  </w:t>
      </w:r>
    </w:p>
  </w:footnote>
  <w:footnote w:id="2">
    <w:p w14:paraId="0ABD0F4E" w14:textId="3D87546B" w:rsidR="00E72FD5" w:rsidRPr="00E72FD5" w:rsidRDefault="00E72FD5" w:rsidP="004872DE">
      <w:pPr>
        <w:pStyle w:val="FootnoteText"/>
        <w:jc w:val="both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="004872DE" w:rsidRPr="004872DE">
        <w:rPr>
          <w:rFonts w:ascii="Nestle Text TF AR Light" w:hAnsi="Nestle Text TF AR Light" w:cs="Nestle Text TF AR Light"/>
          <w:sz w:val="18"/>
          <w:szCs w:val="18"/>
          <w:lang w:val="pl-PL"/>
        </w:rPr>
        <w:t>Zrównoważony system żywnościowy – zespół procesów towarzyszących produkcji żywności, który zapewnia wysoką jakość produktów, przy zachowaniu równowagi środowiskowej, ekonomicznej i społecznej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14D"/>
    <w:multiLevelType w:val="hybridMultilevel"/>
    <w:tmpl w:val="EC1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F57"/>
    <w:multiLevelType w:val="hybridMultilevel"/>
    <w:tmpl w:val="8B2A2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A26"/>
    <w:multiLevelType w:val="hybridMultilevel"/>
    <w:tmpl w:val="6734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558"/>
    <w:multiLevelType w:val="hybridMultilevel"/>
    <w:tmpl w:val="692C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6F8"/>
    <w:multiLevelType w:val="hybridMultilevel"/>
    <w:tmpl w:val="0BF2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37EE"/>
    <w:multiLevelType w:val="hybridMultilevel"/>
    <w:tmpl w:val="B88E9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5D7C"/>
    <w:multiLevelType w:val="hybridMultilevel"/>
    <w:tmpl w:val="4090241E"/>
    <w:lvl w:ilvl="0" w:tplc="EA6A6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20F7"/>
    <w:multiLevelType w:val="hybridMultilevel"/>
    <w:tmpl w:val="B10ED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0377"/>
    <w:multiLevelType w:val="hybridMultilevel"/>
    <w:tmpl w:val="FA20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E796A"/>
    <w:multiLevelType w:val="hybridMultilevel"/>
    <w:tmpl w:val="18A4CC48"/>
    <w:lvl w:ilvl="0" w:tplc="124E7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28D"/>
    <w:multiLevelType w:val="hybridMultilevel"/>
    <w:tmpl w:val="0A942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7"/>
  </w:num>
  <w:num w:numId="5">
    <w:abstractNumId w:val="11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0"/>
  </w:num>
  <w:num w:numId="9">
    <w:abstractNumId w:val="16"/>
  </w:num>
  <w:num w:numId="10">
    <w:abstractNumId w:val="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12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259E6"/>
    <w:rsid w:val="000313E3"/>
    <w:rsid w:val="00035C65"/>
    <w:rsid w:val="0004374F"/>
    <w:rsid w:val="000576A4"/>
    <w:rsid w:val="00057F66"/>
    <w:rsid w:val="00061C65"/>
    <w:rsid w:val="000756FC"/>
    <w:rsid w:val="00080F1D"/>
    <w:rsid w:val="00081826"/>
    <w:rsid w:val="000846E5"/>
    <w:rsid w:val="0009637A"/>
    <w:rsid w:val="000B7C8B"/>
    <w:rsid w:val="000C548F"/>
    <w:rsid w:val="000E23F1"/>
    <w:rsid w:val="000F0A7A"/>
    <w:rsid w:val="000F0B03"/>
    <w:rsid w:val="000F1623"/>
    <w:rsid w:val="000F607C"/>
    <w:rsid w:val="000F7EAD"/>
    <w:rsid w:val="0010475E"/>
    <w:rsid w:val="001204B2"/>
    <w:rsid w:val="0018609E"/>
    <w:rsid w:val="00186801"/>
    <w:rsid w:val="001B2CC5"/>
    <w:rsid w:val="001C1C86"/>
    <w:rsid w:val="001D1540"/>
    <w:rsid w:val="001E2C2A"/>
    <w:rsid w:val="001E5901"/>
    <w:rsid w:val="001E7293"/>
    <w:rsid w:val="00216379"/>
    <w:rsid w:val="00246071"/>
    <w:rsid w:val="00256CAA"/>
    <w:rsid w:val="00256E8B"/>
    <w:rsid w:val="00264941"/>
    <w:rsid w:val="002653D5"/>
    <w:rsid w:val="002836C1"/>
    <w:rsid w:val="00283AEF"/>
    <w:rsid w:val="00285C47"/>
    <w:rsid w:val="00291653"/>
    <w:rsid w:val="00295459"/>
    <w:rsid w:val="00297A08"/>
    <w:rsid w:val="002A0471"/>
    <w:rsid w:val="002B5AA7"/>
    <w:rsid w:val="002B629B"/>
    <w:rsid w:val="002C1353"/>
    <w:rsid w:val="002C6DD6"/>
    <w:rsid w:val="002D27FE"/>
    <w:rsid w:val="002D2CA9"/>
    <w:rsid w:val="002E49CB"/>
    <w:rsid w:val="002F0C67"/>
    <w:rsid w:val="002F6E3A"/>
    <w:rsid w:val="003017A5"/>
    <w:rsid w:val="00312534"/>
    <w:rsid w:val="00374E3C"/>
    <w:rsid w:val="00375306"/>
    <w:rsid w:val="00382616"/>
    <w:rsid w:val="00382E23"/>
    <w:rsid w:val="003A578E"/>
    <w:rsid w:val="003C0C85"/>
    <w:rsid w:val="003C1341"/>
    <w:rsid w:val="003C155B"/>
    <w:rsid w:val="003C65F3"/>
    <w:rsid w:val="003C6669"/>
    <w:rsid w:val="003D1BB4"/>
    <w:rsid w:val="003D5AB4"/>
    <w:rsid w:val="003E08A1"/>
    <w:rsid w:val="003F0590"/>
    <w:rsid w:val="00400D24"/>
    <w:rsid w:val="004073BD"/>
    <w:rsid w:val="0041468F"/>
    <w:rsid w:val="00456880"/>
    <w:rsid w:val="00457189"/>
    <w:rsid w:val="004719E4"/>
    <w:rsid w:val="00481C1A"/>
    <w:rsid w:val="00484D01"/>
    <w:rsid w:val="004872DE"/>
    <w:rsid w:val="00495408"/>
    <w:rsid w:val="004A2112"/>
    <w:rsid w:val="004B34CB"/>
    <w:rsid w:val="004C1B5D"/>
    <w:rsid w:val="004E3F72"/>
    <w:rsid w:val="004E7CED"/>
    <w:rsid w:val="0050572D"/>
    <w:rsid w:val="00507EEB"/>
    <w:rsid w:val="00516031"/>
    <w:rsid w:val="00521714"/>
    <w:rsid w:val="00546638"/>
    <w:rsid w:val="005471F9"/>
    <w:rsid w:val="00555812"/>
    <w:rsid w:val="00555CB1"/>
    <w:rsid w:val="0056261A"/>
    <w:rsid w:val="005746A6"/>
    <w:rsid w:val="00575AB1"/>
    <w:rsid w:val="00592D36"/>
    <w:rsid w:val="005A18DD"/>
    <w:rsid w:val="005A61F5"/>
    <w:rsid w:val="005D2142"/>
    <w:rsid w:val="005E2F07"/>
    <w:rsid w:val="005F1841"/>
    <w:rsid w:val="005F38E2"/>
    <w:rsid w:val="0060411D"/>
    <w:rsid w:val="0064678F"/>
    <w:rsid w:val="0065038D"/>
    <w:rsid w:val="006539B7"/>
    <w:rsid w:val="00662D26"/>
    <w:rsid w:val="006634D6"/>
    <w:rsid w:val="00675613"/>
    <w:rsid w:val="006C030C"/>
    <w:rsid w:val="006C6BEB"/>
    <w:rsid w:val="006E0960"/>
    <w:rsid w:val="006E5016"/>
    <w:rsid w:val="006F3332"/>
    <w:rsid w:val="00703892"/>
    <w:rsid w:val="00705DBF"/>
    <w:rsid w:val="00726D09"/>
    <w:rsid w:val="007537AE"/>
    <w:rsid w:val="007553B6"/>
    <w:rsid w:val="007572F4"/>
    <w:rsid w:val="00793038"/>
    <w:rsid w:val="007A2754"/>
    <w:rsid w:val="007A34E0"/>
    <w:rsid w:val="007A4089"/>
    <w:rsid w:val="007B0EFA"/>
    <w:rsid w:val="007D34BC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65C08"/>
    <w:rsid w:val="00897D16"/>
    <w:rsid w:val="008A0B1F"/>
    <w:rsid w:val="008A1C7B"/>
    <w:rsid w:val="008A51B6"/>
    <w:rsid w:val="008C3494"/>
    <w:rsid w:val="008E7F02"/>
    <w:rsid w:val="00905D26"/>
    <w:rsid w:val="00910011"/>
    <w:rsid w:val="00921527"/>
    <w:rsid w:val="0092693C"/>
    <w:rsid w:val="00930BA4"/>
    <w:rsid w:val="00941D6B"/>
    <w:rsid w:val="00956489"/>
    <w:rsid w:val="0097598F"/>
    <w:rsid w:val="00976BC1"/>
    <w:rsid w:val="00986C74"/>
    <w:rsid w:val="00992189"/>
    <w:rsid w:val="009A3664"/>
    <w:rsid w:val="009E1D1C"/>
    <w:rsid w:val="009E460D"/>
    <w:rsid w:val="009F47E2"/>
    <w:rsid w:val="00A15A1F"/>
    <w:rsid w:val="00A2048D"/>
    <w:rsid w:val="00A80CD5"/>
    <w:rsid w:val="00A90E4F"/>
    <w:rsid w:val="00A91DC0"/>
    <w:rsid w:val="00AA1D4F"/>
    <w:rsid w:val="00AC26E1"/>
    <w:rsid w:val="00AD1223"/>
    <w:rsid w:val="00AE1000"/>
    <w:rsid w:val="00AE7315"/>
    <w:rsid w:val="00B026A4"/>
    <w:rsid w:val="00B4396F"/>
    <w:rsid w:val="00B471E4"/>
    <w:rsid w:val="00B612C9"/>
    <w:rsid w:val="00B668F4"/>
    <w:rsid w:val="00B944A6"/>
    <w:rsid w:val="00B94868"/>
    <w:rsid w:val="00BD710D"/>
    <w:rsid w:val="00BE5B01"/>
    <w:rsid w:val="00BF31FB"/>
    <w:rsid w:val="00C00335"/>
    <w:rsid w:val="00C14F02"/>
    <w:rsid w:val="00C240CC"/>
    <w:rsid w:val="00C3194C"/>
    <w:rsid w:val="00C634EB"/>
    <w:rsid w:val="00C654D6"/>
    <w:rsid w:val="00C7266B"/>
    <w:rsid w:val="00C76213"/>
    <w:rsid w:val="00CB7E02"/>
    <w:rsid w:val="00CC2627"/>
    <w:rsid w:val="00CC2761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63F38"/>
    <w:rsid w:val="00D920A0"/>
    <w:rsid w:val="00DC0017"/>
    <w:rsid w:val="00DD19F9"/>
    <w:rsid w:val="00DE30BC"/>
    <w:rsid w:val="00E03EBA"/>
    <w:rsid w:val="00E11BF1"/>
    <w:rsid w:val="00E23162"/>
    <w:rsid w:val="00E429B0"/>
    <w:rsid w:val="00E44884"/>
    <w:rsid w:val="00E46374"/>
    <w:rsid w:val="00E51FD2"/>
    <w:rsid w:val="00E56452"/>
    <w:rsid w:val="00E72FD5"/>
    <w:rsid w:val="00E84FFA"/>
    <w:rsid w:val="00E9048D"/>
    <w:rsid w:val="00E90D15"/>
    <w:rsid w:val="00E96B10"/>
    <w:rsid w:val="00E97CB0"/>
    <w:rsid w:val="00EA528A"/>
    <w:rsid w:val="00EA5608"/>
    <w:rsid w:val="00EB15EC"/>
    <w:rsid w:val="00EC4C29"/>
    <w:rsid w:val="00EC6B02"/>
    <w:rsid w:val="00ED0CF3"/>
    <w:rsid w:val="00ED2D9D"/>
    <w:rsid w:val="00ED6FA2"/>
    <w:rsid w:val="00EE7D84"/>
    <w:rsid w:val="00EF2E1C"/>
    <w:rsid w:val="00EF5776"/>
    <w:rsid w:val="00F27201"/>
    <w:rsid w:val="00F31D3B"/>
    <w:rsid w:val="00F34F44"/>
    <w:rsid w:val="00F35FCD"/>
    <w:rsid w:val="00F612A0"/>
    <w:rsid w:val="00F63A91"/>
    <w:rsid w:val="00F665AA"/>
    <w:rsid w:val="00F75B5B"/>
    <w:rsid w:val="00F835B6"/>
    <w:rsid w:val="00F83A6C"/>
    <w:rsid w:val="00F90C15"/>
    <w:rsid w:val="00F9163D"/>
    <w:rsid w:val="00F94A55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21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3D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FB3D6-1063-4C83-B3F5-96C77BA9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4</cp:revision>
  <cp:lastPrinted>2021-02-09T10:57:00Z</cp:lastPrinted>
  <dcterms:created xsi:type="dcterms:W3CDTF">2021-02-09T14:34:00Z</dcterms:created>
  <dcterms:modified xsi:type="dcterms:W3CDTF">2021-02-09T14:38:00Z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